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7D36C5" w14:textId="77777777" w:rsidR="00B46A9C" w:rsidRDefault="00B46A9C" w:rsidP="00E5428D">
      <w:pPr>
        <w:spacing w:after="0"/>
        <w:rPr>
          <w:rFonts w:ascii="Garamond" w:hAnsi="Garamond"/>
          <w:b/>
          <w:bCs/>
        </w:rPr>
      </w:pPr>
      <w:r>
        <w:rPr>
          <w:rFonts w:ascii="Garamond" w:hAnsi="Garamond"/>
          <w:b/>
          <w:bCs/>
        </w:rPr>
        <w:t>LORENZO MADARO</w:t>
      </w:r>
    </w:p>
    <w:p w14:paraId="2F44D77B" w14:textId="77777777" w:rsidR="00B46A9C" w:rsidRDefault="00B46A9C" w:rsidP="00E5428D">
      <w:pPr>
        <w:spacing w:after="0"/>
        <w:rPr>
          <w:rFonts w:ascii="Garamond" w:hAnsi="Garamond"/>
          <w:b/>
          <w:bCs/>
        </w:rPr>
      </w:pPr>
      <w:r>
        <w:rPr>
          <w:rFonts w:ascii="Garamond" w:hAnsi="Garamond"/>
          <w:b/>
          <w:bCs/>
        </w:rPr>
        <w:t>Curatore della mostra</w:t>
      </w:r>
    </w:p>
    <w:p w14:paraId="72FB9D17" w14:textId="77777777" w:rsidR="00B46A9C" w:rsidRPr="00B46A9C" w:rsidRDefault="00B46A9C" w:rsidP="00E5428D">
      <w:pPr>
        <w:spacing w:after="0"/>
        <w:rPr>
          <w:rFonts w:ascii="Garamond" w:hAnsi="Garamond"/>
        </w:rPr>
      </w:pPr>
    </w:p>
    <w:p w14:paraId="45FF1722" w14:textId="1028B1BC" w:rsidR="00B46A9C" w:rsidRPr="00B46A9C" w:rsidRDefault="00B46A9C" w:rsidP="00B46A9C">
      <w:pPr>
        <w:spacing w:after="0"/>
        <w:jc w:val="both"/>
        <w:rPr>
          <w:rFonts w:ascii="Garamond" w:hAnsi="Garamond"/>
          <w:i/>
          <w:iCs/>
          <w:sz w:val="22"/>
          <w:szCs w:val="22"/>
        </w:rPr>
      </w:pPr>
      <w:r w:rsidRPr="00B46A9C">
        <w:rPr>
          <w:rFonts w:ascii="Garamond" w:hAnsi="Garamond"/>
          <w:b/>
          <w:bCs/>
          <w:i/>
          <w:iCs/>
          <w:sz w:val="22"/>
          <w:szCs w:val="22"/>
        </w:rPr>
        <w:t>Paladino, segno, disegno, scultura, pittura, ambiente. Anzi, spazio *</w:t>
      </w:r>
    </w:p>
    <w:p w14:paraId="66275129" w14:textId="77777777" w:rsidR="00B46A9C" w:rsidRPr="00B46A9C" w:rsidRDefault="00B46A9C" w:rsidP="00B46A9C">
      <w:pPr>
        <w:spacing w:after="0"/>
        <w:jc w:val="both"/>
        <w:rPr>
          <w:rFonts w:ascii="Garamond" w:hAnsi="Garamond"/>
          <w:b/>
          <w:bCs/>
          <w:sz w:val="22"/>
          <w:szCs w:val="22"/>
        </w:rPr>
      </w:pPr>
    </w:p>
    <w:p w14:paraId="0D617B9F" w14:textId="77777777" w:rsidR="00B46A9C" w:rsidRPr="00B46A9C" w:rsidRDefault="00B46A9C" w:rsidP="00B46A9C">
      <w:pPr>
        <w:spacing w:after="0"/>
        <w:jc w:val="both"/>
        <w:rPr>
          <w:rFonts w:ascii="Garamond" w:hAnsi="Garamond"/>
          <w:b/>
          <w:bCs/>
          <w:sz w:val="22"/>
          <w:szCs w:val="22"/>
        </w:rPr>
      </w:pPr>
    </w:p>
    <w:p w14:paraId="6FD0418D" w14:textId="77777777" w:rsidR="00B46A9C" w:rsidRPr="00B46A9C" w:rsidRDefault="00B46A9C" w:rsidP="00B46A9C">
      <w:pPr>
        <w:spacing w:after="0"/>
        <w:jc w:val="both"/>
        <w:rPr>
          <w:rFonts w:ascii="Garamond" w:hAnsi="Garamond"/>
          <w:i/>
          <w:iCs/>
          <w:sz w:val="22"/>
          <w:szCs w:val="22"/>
        </w:rPr>
      </w:pPr>
      <w:r w:rsidRPr="00B46A9C">
        <w:rPr>
          <w:rFonts w:ascii="Garamond" w:hAnsi="Garamond"/>
          <w:b/>
          <w:bCs/>
          <w:i/>
          <w:iCs/>
          <w:sz w:val="22"/>
          <w:szCs w:val="22"/>
        </w:rPr>
        <w:t>Ragioni di un libro, di una mostra.</w:t>
      </w:r>
    </w:p>
    <w:p w14:paraId="236FA04E" w14:textId="77777777" w:rsidR="00B46A9C" w:rsidRPr="00B46A9C" w:rsidRDefault="00B46A9C" w:rsidP="00B46A9C">
      <w:pPr>
        <w:spacing w:after="0"/>
        <w:jc w:val="both"/>
        <w:rPr>
          <w:rFonts w:ascii="Garamond" w:hAnsi="Garamond"/>
          <w:i/>
          <w:iCs/>
          <w:sz w:val="22"/>
          <w:szCs w:val="22"/>
        </w:rPr>
      </w:pPr>
      <w:r w:rsidRPr="00B46A9C">
        <w:rPr>
          <w:rFonts w:ascii="Garamond" w:hAnsi="Garamond"/>
          <w:b/>
          <w:bCs/>
          <w:i/>
          <w:iCs/>
          <w:sz w:val="22"/>
          <w:szCs w:val="22"/>
        </w:rPr>
        <w:t>Sala Stirling come casa/capanna per l’artista mediterraneo</w:t>
      </w:r>
    </w:p>
    <w:p w14:paraId="1CE62D86" w14:textId="77777777" w:rsidR="00B46A9C" w:rsidRPr="00B46A9C" w:rsidRDefault="00B46A9C" w:rsidP="00141ECA">
      <w:pPr>
        <w:spacing w:after="0"/>
        <w:jc w:val="both"/>
        <w:rPr>
          <w:rFonts w:ascii="Garamond" w:hAnsi="Garamond"/>
          <w:sz w:val="22"/>
          <w:szCs w:val="22"/>
        </w:rPr>
      </w:pPr>
    </w:p>
    <w:p w14:paraId="7C0FA6AF" w14:textId="314BCF41" w:rsidR="00B46A9C" w:rsidRPr="00383950" w:rsidRDefault="00B46A9C" w:rsidP="00B46A9C">
      <w:pPr>
        <w:spacing w:after="0"/>
        <w:jc w:val="both"/>
        <w:rPr>
          <w:rFonts w:ascii="Garamond" w:hAnsi="Garamond"/>
          <w:sz w:val="22"/>
          <w:szCs w:val="22"/>
        </w:rPr>
      </w:pPr>
      <w:r w:rsidRPr="00383950">
        <w:rPr>
          <w:rFonts w:ascii="Garamond" w:hAnsi="Garamond"/>
          <w:sz w:val="22"/>
          <w:szCs w:val="22"/>
        </w:rPr>
        <w:t>«La prima scultura che avevo in testa era una specie di casa-capanna, […] c’era […] qualcosa che aveva […] a che fare con l’ambiente», dice Mimmo Paladino, rivelando uno degli aspetti più significativi del suo fare, che riguarda un’idea dilatata di ambiente, anche quando si parte dal disegno e dalla pittura e si approda allo spazio, da percorrere con gli occhi e i piedi, perfino con l’olfatto alle volte, quasi in un ascetico percorso di conoscenza dei segni, delle tracce, delle stratificazioni di colore che sin dalla fine dei Settanta hanno abitato ambienti, stanze, luoghi, urbani e remoti, storici e contemporanei. E, poi, la scultura, che è diventata anch’essa ambiente, consentendo a un’intera comunità di arrampicarsi, realmente e idealmente, su una montagna di sale, per ricercare le radici della propria identità, dei propri riti propiziatori e scaramantici capaci di oltrepassare il tempo e finanche di manomettere pacificamente un’opera portando a casa con sé un po’ di quel sale di cui è composta (</w:t>
      </w:r>
      <w:r w:rsidRPr="00383950">
        <w:rPr>
          <w:rFonts w:ascii="Garamond" w:hAnsi="Garamond"/>
          <w:i/>
          <w:iCs/>
          <w:sz w:val="22"/>
          <w:szCs w:val="22"/>
        </w:rPr>
        <w:t>La montagna del sale</w:t>
      </w:r>
      <w:r w:rsidRPr="00383950">
        <w:rPr>
          <w:rFonts w:ascii="Garamond" w:hAnsi="Garamond"/>
          <w:sz w:val="22"/>
          <w:szCs w:val="22"/>
        </w:rPr>
        <w:t xml:space="preserve">, Napoli, 1995), un’architettura di quarantacinque metri di base per dodici metri di altezza, con trenta cavalli conficcati, sessanta tonnellate di sale, per essere puntuali. Arte come luogo, quindi, antropologico prima che fisico, immaginifico prima che reale. Mimmo Paladino ha dato un contributo fondamentale alla storia dell’arte contemporanea sin dalla fine dei Settanta, portando avanti un lavoro dentro la pittura ma riuscendo a uscire dal quadro recuperando materiali, processi, comportamenti e attitudini che invece erano anche esterne alla pittura stessa. L’installazione, la scultura, lo spazio: sono tre temi interni del suo lavoro, che l’artista è riuscito a preservare con particolare visionarietà adottando oggetti, prelevando forme, esportando dal suo studio un’idea dilatata di opera che infatti poi è diventata anche scultura pubblica, architettura, presenza nello spazio urbano a contatto con lo sguardo dei passanti, e ancora scenografia e finanche cinema con i suoi lavori, recenti e </w:t>
      </w:r>
      <w:proofErr w:type="gramStart"/>
      <w:r w:rsidRPr="00383950">
        <w:rPr>
          <w:rFonts w:ascii="Garamond" w:hAnsi="Garamond"/>
          <w:sz w:val="22"/>
          <w:szCs w:val="22"/>
        </w:rPr>
        <w:t>non</w:t>
      </w:r>
      <w:proofErr w:type="gramEnd"/>
      <w:r w:rsidRPr="00383950">
        <w:rPr>
          <w:rFonts w:ascii="Garamond" w:hAnsi="Garamond"/>
          <w:sz w:val="22"/>
          <w:szCs w:val="22"/>
        </w:rPr>
        <w:t xml:space="preserve">, dedicati all’immagine in movimento. Ecco, quindi, questa mostra a Palazzo Citterio in cui nella monumentalità brutalista della Sala Stirling il pubblico è invitato a dialogare con uno dei suoi principali capolavori, i </w:t>
      </w:r>
      <w:r w:rsidRPr="00383950">
        <w:rPr>
          <w:rFonts w:ascii="Garamond" w:hAnsi="Garamond"/>
          <w:i/>
          <w:iCs/>
          <w:sz w:val="22"/>
          <w:szCs w:val="22"/>
        </w:rPr>
        <w:t xml:space="preserve">Dormienti, </w:t>
      </w:r>
      <w:r w:rsidRPr="00383950">
        <w:rPr>
          <w:rFonts w:ascii="Garamond" w:hAnsi="Garamond"/>
          <w:sz w:val="22"/>
          <w:szCs w:val="22"/>
        </w:rPr>
        <w:t xml:space="preserve">che qui trovano una naturale collocazione perché, grazie alla conformazione intrinseca della sala, a partire dalla scalinata d’apertura, lo spazio stesso diventa una culla primigenia per questi corpi. Concepiti a Paduli, i </w:t>
      </w:r>
      <w:r w:rsidRPr="00383950">
        <w:rPr>
          <w:rFonts w:ascii="Garamond" w:hAnsi="Garamond"/>
          <w:i/>
          <w:iCs/>
          <w:sz w:val="22"/>
          <w:szCs w:val="22"/>
        </w:rPr>
        <w:t xml:space="preserve">Dormienti </w:t>
      </w:r>
      <w:r w:rsidRPr="00383950">
        <w:rPr>
          <w:rFonts w:ascii="Garamond" w:hAnsi="Garamond"/>
          <w:sz w:val="22"/>
          <w:szCs w:val="22"/>
        </w:rPr>
        <w:t xml:space="preserve">vengono installati per la prima volta per la Fonte delle Fate di Poggibonsi (1998) e fin dall’inizio si impongono come uno dei nuclei più necessari della ricerca di Mimmo Paladino, perché in essi la figura non si offre </w:t>
      </w:r>
      <w:r w:rsidRPr="00383950">
        <w:rPr>
          <w:rFonts w:ascii="Garamond" w:hAnsi="Garamond"/>
          <w:sz w:val="22"/>
          <w:szCs w:val="22"/>
        </w:rPr>
        <w:lastRenderedPageBreak/>
        <w:t xml:space="preserve">più come presenza piena, come corpo compiuto, ma arretra verso una condizione più remota e più instabile: resto, reliquia terrestre, apparizione abbassata, frammento che non denuncia una perdita ma custodisce una soglia. In un presente come il nostro, attraversato da conflitti, macerie, e da una crescente assuefazione visiva al dolore, un’opera come i </w:t>
      </w:r>
      <w:r w:rsidRPr="00383950">
        <w:rPr>
          <w:rFonts w:ascii="Garamond" w:hAnsi="Garamond"/>
          <w:i/>
          <w:iCs/>
          <w:sz w:val="22"/>
          <w:szCs w:val="22"/>
        </w:rPr>
        <w:t>Dormienti</w:t>
      </w:r>
      <w:r w:rsidRPr="00383950">
        <w:rPr>
          <w:rFonts w:ascii="Garamond" w:hAnsi="Garamond"/>
          <w:sz w:val="22"/>
          <w:szCs w:val="22"/>
        </w:rPr>
        <w:t xml:space="preserve"> agisce quasi come un antidoto dell’arte al dramma del tempo: non perché lo consoli o lo risarcisca, ma perché lo sottrae alla pornografia dell’urlo, alla violenza dell’immagine-consumo, e lo riconduce a una gravità silenziosa, a una concentrazione che non spettacolarizza la ferita ma la trattiene dentro una misura archeologica, interiore, quasi rituale. È qui che Paladino si separa, come gli è proprio, da ogni tentazione illustrativa: il sonno dei </w:t>
      </w:r>
      <w:r w:rsidRPr="00383950">
        <w:rPr>
          <w:rFonts w:ascii="Garamond" w:hAnsi="Garamond"/>
          <w:i/>
          <w:iCs/>
          <w:sz w:val="22"/>
          <w:szCs w:val="22"/>
        </w:rPr>
        <w:t xml:space="preserve">Dormienti </w:t>
      </w:r>
      <w:r w:rsidRPr="00383950">
        <w:rPr>
          <w:rFonts w:ascii="Garamond" w:hAnsi="Garamond"/>
          <w:sz w:val="22"/>
          <w:szCs w:val="22"/>
        </w:rPr>
        <w:t xml:space="preserve">non è tregua, non è pace, non è resa; è una condizione liminare in cui il corpo, abbassato fino a coincidere con la terra, continua a trasmettere una tensione, una resistenza, una memoria che non si lascia estinguere. La destinazione alla Fonte delle Fate, con quell’invaso medievale in cui l’acqua raccoglie e insieme restituisce le figure a una visibilità intermittente, è già decisiva, perché imprime all’opera una qualità uterina e sepolcrale, quasi che questi corpi stiano sulla linea minima che separa l’emersione dalla sparizione, la veglia dall’inabissamento, l’immagine dalla sua rovina. E quando Paladino porta i </w:t>
      </w:r>
      <w:r w:rsidRPr="00383950">
        <w:rPr>
          <w:rFonts w:ascii="Garamond" w:hAnsi="Garamond"/>
          <w:i/>
          <w:sz w:val="22"/>
          <w:szCs w:val="22"/>
        </w:rPr>
        <w:t>Dormienti</w:t>
      </w:r>
      <w:r w:rsidRPr="00383950">
        <w:rPr>
          <w:rFonts w:ascii="Garamond" w:hAnsi="Garamond"/>
          <w:sz w:val="22"/>
          <w:szCs w:val="22"/>
        </w:rPr>
        <w:t xml:space="preserve"> nei sotterranei della </w:t>
      </w:r>
      <w:proofErr w:type="spellStart"/>
      <w:r w:rsidRPr="00383950">
        <w:rPr>
          <w:rFonts w:ascii="Garamond" w:hAnsi="Garamond"/>
          <w:sz w:val="22"/>
          <w:szCs w:val="22"/>
        </w:rPr>
        <w:t>Roundhouse</w:t>
      </w:r>
      <w:proofErr w:type="spellEnd"/>
      <w:r w:rsidRPr="00383950">
        <w:rPr>
          <w:rFonts w:ascii="Garamond" w:hAnsi="Garamond"/>
          <w:sz w:val="22"/>
          <w:szCs w:val="22"/>
        </w:rPr>
        <w:t xml:space="preserve"> di Londra (1999), in dialogo con Brian </w:t>
      </w:r>
      <w:proofErr w:type="spellStart"/>
      <w:r w:rsidRPr="00383950">
        <w:rPr>
          <w:rFonts w:ascii="Garamond" w:hAnsi="Garamond"/>
          <w:sz w:val="22"/>
          <w:szCs w:val="22"/>
        </w:rPr>
        <w:t>Eno</w:t>
      </w:r>
      <w:proofErr w:type="spellEnd"/>
      <w:r w:rsidRPr="00383950">
        <w:rPr>
          <w:rFonts w:ascii="Garamond" w:hAnsi="Garamond"/>
          <w:sz w:val="22"/>
          <w:szCs w:val="22"/>
        </w:rPr>
        <w:t xml:space="preserve">, il suono non si limita ad accompagnare la scultura: ne cambia il respiro, ne dilata il campo percettivo, sottrae quelle figure alla sola evidenza plastica e le immerge in una durata atmosferica, mentale, cosmica. Nello spazio sotterraneo la musica di </w:t>
      </w:r>
      <w:proofErr w:type="spellStart"/>
      <w:r w:rsidRPr="00383950">
        <w:rPr>
          <w:rFonts w:ascii="Garamond" w:hAnsi="Garamond"/>
          <w:sz w:val="22"/>
          <w:szCs w:val="22"/>
        </w:rPr>
        <w:t>Eno</w:t>
      </w:r>
      <w:proofErr w:type="spellEnd"/>
      <w:r w:rsidRPr="00383950">
        <w:rPr>
          <w:rFonts w:ascii="Garamond" w:hAnsi="Garamond"/>
          <w:sz w:val="22"/>
          <w:szCs w:val="22"/>
        </w:rPr>
        <w:t>, rivela e nasconde, «la musica doveva servire a “illuminare” una parte dell’opera che altrimenti sarebbe rimasta in ombra» precisa il compositore.</w:t>
      </w:r>
    </w:p>
    <w:p w14:paraId="7F7A8AEC" w14:textId="77777777" w:rsidR="00B46A9C" w:rsidRPr="00383950" w:rsidRDefault="00B46A9C" w:rsidP="00B46A9C">
      <w:pPr>
        <w:spacing w:after="0"/>
        <w:jc w:val="both"/>
        <w:rPr>
          <w:rFonts w:ascii="Garamond" w:hAnsi="Garamond"/>
          <w:sz w:val="22"/>
          <w:szCs w:val="22"/>
        </w:rPr>
      </w:pPr>
      <w:r w:rsidRPr="00383950">
        <w:rPr>
          <w:rFonts w:ascii="Garamond" w:hAnsi="Garamond"/>
          <w:sz w:val="22"/>
          <w:szCs w:val="22"/>
        </w:rPr>
        <w:t>Nella successiva traduzione in bronzo per la Fonte delle Fate di Poggibonsi (2000), la materia cambia temperatura ma non perde intensità: si fa più fredda, più severa, più nitida nella propria qualità arcaica e postuma. È come se l’opera, fin dalla sua origine, nascesse già attraversata da un doppio movimento: radicamento nella terra e trasmigrazione nel tempo, concretezza della materia e apertura a un altrove immaginario.</w:t>
      </w:r>
    </w:p>
    <w:p w14:paraId="1B30699C" w14:textId="77777777" w:rsidR="00B46A9C" w:rsidRPr="00383950" w:rsidRDefault="00B46A9C" w:rsidP="00B46A9C">
      <w:pPr>
        <w:spacing w:after="0"/>
        <w:jc w:val="both"/>
        <w:rPr>
          <w:rFonts w:ascii="Garamond" w:hAnsi="Garamond"/>
          <w:sz w:val="22"/>
          <w:szCs w:val="22"/>
        </w:rPr>
      </w:pPr>
      <w:r w:rsidRPr="00383950">
        <w:rPr>
          <w:rFonts w:ascii="Garamond" w:hAnsi="Garamond"/>
          <w:sz w:val="22"/>
          <w:szCs w:val="22"/>
        </w:rPr>
        <w:t xml:space="preserve">Osservati nella loro singolarità, i </w:t>
      </w:r>
      <w:r w:rsidRPr="00383950">
        <w:rPr>
          <w:rFonts w:ascii="Garamond" w:hAnsi="Garamond"/>
          <w:i/>
          <w:iCs/>
          <w:sz w:val="22"/>
          <w:szCs w:val="22"/>
        </w:rPr>
        <w:t>Dormienti</w:t>
      </w:r>
      <w:r w:rsidRPr="00383950">
        <w:rPr>
          <w:rFonts w:ascii="Garamond" w:hAnsi="Garamond"/>
          <w:sz w:val="22"/>
          <w:szCs w:val="22"/>
        </w:rPr>
        <w:t xml:space="preserve"> non costruiscono mai una serie pacificata. Sono tutti diversi e tutti uguali, come accade alle immagini necessarie, a quelle forme che non dipendono dalla variazione decorativa ma da una lenta pressione interna. Alcuni corpi si raccolgono in una postura fetale, con il capo ripiegato sulle mani e le ginocchia serrate verso il petto, quasi cercassero una misura primaria; altri vengono interrotti da coppe infisse nel ventre, da anfore tronche, da tavole che gravano sul dorso, da elementi cavi, cilindrici, vascolari, che non funzionano come attributi ma come intrusioni, ferite, spostamenti del senso. In certi </w:t>
      </w:r>
      <w:r w:rsidRPr="00383950">
        <w:rPr>
          <w:rFonts w:ascii="Garamond" w:hAnsi="Garamond"/>
          <w:i/>
          <w:iCs/>
          <w:sz w:val="22"/>
          <w:szCs w:val="22"/>
        </w:rPr>
        <w:t>Dormienti</w:t>
      </w:r>
      <w:r w:rsidRPr="00383950">
        <w:rPr>
          <w:rFonts w:ascii="Garamond" w:hAnsi="Garamond"/>
          <w:sz w:val="22"/>
          <w:szCs w:val="22"/>
        </w:rPr>
        <w:t xml:space="preserve"> la terracotta conserva una vibrazione chiara, epidermica, come se ancora trattenesse una memoria tattile dell’umano; in altri la superficie si annerisce, si ossida, si chiazza di verdi corrosi e di azzurri metallici, come se la figura fosse già transitata attraverso il tempo lungo della rovina, o attraverso una combustione lenta e interna. Ve ne sono di più compatti, quasi monolitici, in cui </w:t>
      </w:r>
      <w:r w:rsidRPr="00383950">
        <w:rPr>
          <w:rFonts w:ascii="Garamond" w:hAnsi="Garamond"/>
          <w:sz w:val="22"/>
          <w:szCs w:val="22"/>
        </w:rPr>
        <w:lastRenderedPageBreak/>
        <w:t xml:space="preserve">il peso si addensa in una massa unica e severa; e ve ne sono altri sul limite estremo della dispersione, dove la figura sembra disfarsi in una costellazione di membra, vuoti, cavità, frammenti che si aggregano solo per un istante. Una mano che affiora isolata, una ciotola deposta come un organo esterno, una tavola che schiaccia la schiena, un vaso che prende il posto del torso o ne prolunga il volume bastano ogni volta a spezzare la continuità anatomica. Il corpo non si offre allora come organismo, ma come deposito; non riposa, custodisce; non si sottrae al mondo, ne trattiene l’urto. In questa logica il frammento non è un avanzo malinconico, ma una modalità di costruzione: una traccia di tutto, una forma aperta, una presenza che porta con sé il passato senza diventare passatista, che lascia riaffiorare un’antichità ancora attiva e ancora contemporanea. È precisamente questo il punto in cui i </w:t>
      </w:r>
      <w:r w:rsidRPr="00383950">
        <w:rPr>
          <w:rFonts w:ascii="Garamond" w:hAnsi="Garamond"/>
          <w:i/>
          <w:sz w:val="22"/>
          <w:szCs w:val="22"/>
        </w:rPr>
        <w:t>Dormienti</w:t>
      </w:r>
      <w:r w:rsidRPr="00383950">
        <w:rPr>
          <w:rFonts w:ascii="Garamond" w:hAnsi="Garamond"/>
          <w:sz w:val="22"/>
          <w:szCs w:val="22"/>
        </w:rPr>
        <w:t xml:space="preserve"> rivelano una natura più complessa della semplice installazione scultorea: sono una comunità di immagini che tiene insieme pieno e vuoto, visibile e invisibile, rassicurante e temibile, storia e mito, senza mai sciogliere del tutto tali opposizioni. Per questo il confronto con gli </w:t>
      </w:r>
      <w:r w:rsidRPr="00383950">
        <w:rPr>
          <w:rFonts w:ascii="Garamond" w:hAnsi="Garamond"/>
          <w:i/>
          <w:iCs/>
          <w:sz w:val="22"/>
          <w:szCs w:val="22"/>
        </w:rPr>
        <w:t xml:space="preserve">Shelter </w:t>
      </w:r>
      <w:proofErr w:type="spellStart"/>
      <w:r w:rsidRPr="00383950">
        <w:rPr>
          <w:rFonts w:ascii="Garamond" w:hAnsi="Garamond"/>
          <w:i/>
          <w:iCs/>
          <w:sz w:val="22"/>
          <w:szCs w:val="22"/>
        </w:rPr>
        <w:t>drawings</w:t>
      </w:r>
      <w:proofErr w:type="spellEnd"/>
      <w:r w:rsidRPr="00383950">
        <w:rPr>
          <w:rFonts w:ascii="Garamond" w:hAnsi="Garamond"/>
          <w:i/>
          <w:iCs/>
          <w:sz w:val="22"/>
          <w:szCs w:val="22"/>
        </w:rPr>
        <w:t xml:space="preserve"> </w:t>
      </w:r>
      <w:r w:rsidRPr="00383950">
        <w:rPr>
          <w:rFonts w:ascii="Garamond" w:hAnsi="Garamond"/>
          <w:sz w:val="22"/>
          <w:szCs w:val="22"/>
        </w:rPr>
        <w:t xml:space="preserve">di Henry Moore (1940-1941) resta non solo legittimo, ma criticamente fecondo, purché venga mantenuto sul piano delle grandi immagini e non su quello di una derivazione esteriore. Anche Moore, nei rifugi antiaerei del Blitz, vede corpi stesi, rannicchiati, allineati nello spazio del riparo, e riconosce in quella coralità abbassata una vulnerabilità collettiva, una resistenza muta, una gravità quasi geologica. Ma là dove in Moore permane ancora il rapporto diretto con la contingenza storica della guerra, con la sua urgenza civile e con il suo trauma immediato, Paladino sospinge tutto in una regione più remota e più ambigua, mediterranea, ipogea, archeologica. I suoi </w:t>
      </w:r>
      <w:r w:rsidRPr="00383950">
        <w:rPr>
          <w:rFonts w:ascii="Garamond" w:hAnsi="Garamond"/>
          <w:i/>
          <w:sz w:val="22"/>
          <w:szCs w:val="22"/>
        </w:rPr>
        <w:t>Dormienti</w:t>
      </w:r>
      <w:r w:rsidRPr="00383950">
        <w:rPr>
          <w:rFonts w:ascii="Garamond" w:hAnsi="Garamond"/>
          <w:sz w:val="22"/>
          <w:szCs w:val="22"/>
        </w:rPr>
        <w:t xml:space="preserve"> non cercano rifugio: sono già cavità, deposito, peso della terra. Non rimandano soltanto alla figura umana colta nel sonno, ma a un’umanità scesa sotto la soglia del racconto, tornata alla postura primaria del giacere, del contrarsi, del resistere. È in questa discesa che l’opera trova la propria intensità più rara, perché non addolcisce la morte, non monumentalizza la sofferenza, non domanda pietà. Abbassa tutto, e proprio per questo intensifica tutto. Riconduce la figura a un grado essenziale di presenza, dove il corpo è ancora corpo ma è già anche coccio, urna, frammento architettonico, idolo spezzato, reliquia mentale. In questo senso, dentro il nostro presente lacerato, i </w:t>
      </w:r>
      <w:r w:rsidRPr="00383950">
        <w:rPr>
          <w:rFonts w:ascii="Garamond" w:hAnsi="Garamond"/>
          <w:i/>
          <w:sz w:val="22"/>
          <w:szCs w:val="22"/>
        </w:rPr>
        <w:t>Dormienti</w:t>
      </w:r>
      <w:r w:rsidRPr="00383950">
        <w:rPr>
          <w:rFonts w:ascii="Garamond" w:hAnsi="Garamond"/>
          <w:sz w:val="22"/>
          <w:szCs w:val="22"/>
        </w:rPr>
        <w:t xml:space="preserve"> non sono soltanto un’opera di straordinaria forza plastica: sono un esercizio dello sguardo, una disciplina del silenzio, una forma di opposizione alla dissipazione spettacolare del dolore. L’arte, qui, non ripara il mondo, ma impedisce almeno che il mondo venga guardato senza profondità, senza memoria, senza tremore. Nel percorso di Paladino i </w:t>
      </w:r>
      <w:r w:rsidRPr="00383950">
        <w:rPr>
          <w:rFonts w:ascii="Garamond" w:hAnsi="Garamond"/>
          <w:i/>
          <w:iCs/>
          <w:sz w:val="22"/>
          <w:szCs w:val="22"/>
        </w:rPr>
        <w:t>Dormienti</w:t>
      </w:r>
      <w:r w:rsidRPr="00383950">
        <w:rPr>
          <w:rFonts w:ascii="Garamond" w:hAnsi="Garamond"/>
          <w:sz w:val="22"/>
          <w:szCs w:val="22"/>
        </w:rPr>
        <w:t xml:space="preserve"> occupano dunque una posizione cruciale, perché condensano senza irrigidirle alcune tensioni decisive della sua opera: l’arcaico che non si riduce mai a citazione, la figura che non coincide mai con il naturalismo, il frammento che non allude alla perdita ma a una possibilità combinatoria, la scultura che si apre allo spazio, al suono, alla liturgia del luogo. Non sorprende allora che il ciclo riemerga in contesti tanto diversi, ogni volta assorbendo il carattere della sede che lo accoglie </w:t>
      </w:r>
      <w:r w:rsidRPr="00383950">
        <w:rPr>
          <w:rFonts w:ascii="Garamond" w:hAnsi="Garamond"/>
          <w:sz w:val="22"/>
          <w:szCs w:val="22"/>
        </w:rPr>
        <w:lastRenderedPageBreak/>
        <w:t xml:space="preserve">e ogni volta modificandolo: Poggibonsi, Fonte delle Fate (1998); Londra, </w:t>
      </w:r>
      <w:proofErr w:type="spellStart"/>
      <w:r w:rsidRPr="00383950">
        <w:rPr>
          <w:rFonts w:ascii="Garamond" w:hAnsi="Garamond"/>
          <w:sz w:val="22"/>
          <w:szCs w:val="22"/>
        </w:rPr>
        <w:t>Roundhouse</w:t>
      </w:r>
      <w:proofErr w:type="spellEnd"/>
      <w:r w:rsidRPr="00383950">
        <w:rPr>
          <w:rFonts w:ascii="Garamond" w:hAnsi="Garamond"/>
          <w:sz w:val="22"/>
          <w:szCs w:val="22"/>
        </w:rPr>
        <w:t xml:space="preserve"> (1999); Poggibonsi, Fonte delle Fate, nella versione permanente in bronzo (2000); Prato, Centro per l’Arte Contemporanea Luigi Pecci (2002); Bari, Fortino Sant’Antonio e Sala Murat (2003); Benevento, Teatro Romano (2004); Ravenna,  Chiesa di Santa Maria delle croci, Roccelletta di Borgia, Parco Archeologico di </w:t>
      </w:r>
      <w:proofErr w:type="spellStart"/>
      <w:r w:rsidRPr="00383950">
        <w:rPr>
          <w:rFonts w:ascii="Garamond" w:hAnsi="Garamond"/>
          <w:sz w:val="22"/>
          <w:szCs w:val="22"/>
        </w:rPr>
        <w:t>Scolacium</w:t>
      </w:r>
      <w:proofErr w:type="spellEnd"/>
      <w:r w:rsidRPr="00383950">
        <w:rPr>
          <w:rFonts w:ascii="Garamond" w:hAnsi="Garamond"/>
          <w:sz w:val="22"/>
          <w:szCs w:val="22"/>
        </w:rPr>
        <w:t xml:space="preserve"> (2005); </w:t>
      </w:r>
      <w:proofErr w:type="spellStart"/>
      <w:r w:rsidRPr="00383950">
        <w:rPr>
          <w:rFonts w:ascii="Garamond" w:hAnsi="Garamond"/>
          <w:sz w:val="22"/>
          <w:szCs w:val="22"/>
        </w:rPr>
        <w:t>Koksijde</w:t>
      </w:r>
      <w:proofErr w:type="spellEnd"/>
      <w:r w:rsidRPr="00383950">
        <w:rPr>
          <w:rFonts w:ascii="Garamond" w:hAnsi="Garamond"/>
          <w:sz w:val="22"/>
          <w:szCs w:val="22"/>
        </w:rPr>
        <w:t xml:space="preserve">, Abbazia delle Dune (2006); Lecce, Cappella di San Gregorio Taumaturgo, Positano, Cripta della Chiesa dell’Assunta (2009); Milano, Palazzo Reale (2011); Castelbasso, Palazzo Clemente e Palazzo De Sanctis (2013); Grand Rapids, Frederik Meijer Gardens &amp; </w:t>
      </w:r>
      <w:proofErr w:type="spellStart"/>
      <w:r w:rsidRPr="00383950">
        <w:rPr>
          <w:rFonts w:ascii="Garamond" w:hAnsi="Garamond"/>
          <w:sz w:val="22"/>
          <w:szCs w:val="22"/>
        </w:rPr>
        <w:t>Sculpture</w:t>
      </w:r>
      <w:proofErr w:type="spellEnd"/>
      <w:r w:rsidRPr="00383950">
        <w:rPr>
          <w:rFonts w:ascii="Garamond" w:hAnsi="Garamond"/>
          <w:sz w:val="22"/>
          <w:szCs w:val="22"/>
        </w:rPr>
        <w:t xml:space="preserve"> Park, e Ancona, Mole Vanvitelliana (2016); Firenze, Museo Marino Marini, nel quadro di “</w:t>
      </w:r>
      <w:proofErr w:type="spellStart"/>
      <w:r w:rsidRPr="00383950">
        <w:rPr>
          <w:rFonts w:ascii="Garamond" w:hAnsi="Garamond"/>
          <w:iCs/>
          <w:sz w:val="22"/>
          <w:szCs w:val="22"/>
        </w:rPr>
        <w:t>Ytalia</w:t>
      </w:r>
      <w:proofErr w:type="spellEnd"/>
      <w:r w:rsidRPr="00383950">
        <w:rPr>
          <w:rFonts w:ascii="Garamond" w:hAnsi="Garamond"/>
          <w:sz w:val="22"/>
          <w:szCs w:val="22"/>
        </w:rPr>
        <w:t xml:space="preserve">” (2017); Arezzo, Chiesa di Sant’Ignazio (2019-2020); Milano, Cardi Gallery (2021); fino all’antologica tra Perugia, Galleria Nazionale dell’Umbria, Spoleto, Rocca Albornoz, e Gubbio, Palazzo Ducale (2025-2026). È una traiettoria eloquente non per quantità, ma per qualità di metamorfosi: il museo, la cripta, il parco archeologico, la fortezza, la galleria, il sotterraneo, ciascuno di questi luoghi riceve i </w:t>
      </w:r>
      <w:r w:rsidRPr="00383950">
        <w:rPr>
          <w:rFonts w:ascii="Garamond" w:hAnsi="Garamond"/>
          <w:i/>
          <w:sz w:val="22"/>
          <w:szCs w:val="22"/>
        </w:rPr>
        <w:t>Dormienti</w:t>
      </w:r>
      <w:r w:rsidRPr="00383950">
        <w:rPr>
          <w:rFonts w:ascii="Garamond" w:hAnsi="Garamond"/>
          <w:iCs/>
          <w:sz w:val="22"/>
          <w:szCs w:val="22"/>
        </w:rPr>
        <w:t xml:space="preserve">, </w:t>
      </w:r>
      <w:r w:rsidRPr="00383950">
        <w:rPr>
          <w:rFonts w:ascii="Garamond" w:hAnsi="Garamond"/>
          <w:sz w:val="22"/>
          <w:szCs w:val="22"/>
        </w:rPr>
        <w:t xml:space="preserve">ma al tempo stesso ne viene occupato. È come se ogni riallestimento verificasse di nuovo la verità dell’opera, la sua capacità di restare identica e insieme di mutare, di essere insieme installazione e corteo, reliquia e teatro, rovina e nascita. Qui risiede la loro radicalità. Paladino non costruisce un’allegoria del sonno né una teoria della morte, ma una comunità assorta e insondabile, una moltitudine di corpi piegati che nella loro immobilità raggiunge una monumentalità interiore, severa, non enfatica. Ogni figura tace, ma nel tacere continua ostinatamente a parlare. Ogni frammento </w:t>
      </w:r>
      <w:proofErr w:type="gramStart"/>
      <w:r w:rsidRPr="00383950">
        <w:rPr>
          <w:rFonts w:ascii="Garamond" w:hAnsi="Garamond"/>
          <w:sz w:val="22"/>
          <w:szCs w:val="22"/>
        </w:rPr>
        <w:t>è ferita</w:t>
      </w:r>
      <w:proofErr w:type="gramEnd"/>
      <w:r w:rsidRPr="00383950">
        <w:rPr>
          <w:rFonts w:ascii="Garamond" w:hAnsi="Garamond"/>
          <w:sz w:val="22"/>
          <w:szCs w:val="22"/>
        </w:rPr>
        <w:t xml:space="preserve">, ma anche forma che resiste. E proprio in questa resistenza abbassata, antieroica, priva di retorica, i </w:t>
      </w:r>
      <w:r w:rsidRPr="00383950">
        <w:rPr>
          <w:rFonts w:ascii="Garamond" w:hAnsi="Garamond"/>
          <w:i/>
          <w:iCs/>
          <w:sz w:val="22"/>
          <w:szCs w:val="22"/>
        </w:rPr>
        <w:t>Dormienti</w:t>
      </w:r>
      <w:r w:rsidRPr="00383950">
        <w:rPr>
          <w:rFonts w:ascii="Garamond" w:hAnsi="Garamond"/>
          <w:sz w:val="22"/>
          <w:szCs w:val="22"/>
        </w:rPr>
        <w:t xml:space="preserve"> restano una delle invenzioni più necessarie del maestro. In mostra a Palazzo Citterio è presente anche un nucleo di lavori germinali su carta concepito nel 1973, da sempre conservato dall’artista nel suo studio a Paduli, dove tutto è nato e dove Paladino ha inventato il suo alfabeto che l’ha reso un artista riconosciuto anche a livello internazionale. Coniugando un recupero di quella cultura mediterranea che gli è propria, orientandosi verso un principio che non è mai di citazione, quanto di reinvenzione, e agendo senza mai inciampare nella retorica del ricordo o di una nostalgia per un mondo arcano ormai infinitamente distante, Paladino ha tracciato in questi cinquant’anni e oltre di lavoro un discorso che ha travalicato i generi diventando spesso un ambiente di stratificazioni, in cui la memoria è un fattore mai identico a sé stesso e in cui ciò che costantemente accade è un ripensamento della propria stessa pelle. L’artista indaga il mistero del segno, che genera in sé uno stupore assoluto: l’alchimia misteriosa è ciò che si procrea in un inseguimento costante di frammenti che provengono da una storia antica, medievale, mediterranea, di un sud radicale fatto di grotte, cammini, santuari, rituali. L’artista, secondo Paladino, ha la possibilità di individuare la forza intrinseca di queste tracce e di recuperarle in una dimensione pittorica, disegnata, incisa, modellata. La mostra si conclude idealmente, quindi, in una sala nascosta, quasi uno scrigno segreto adiacente alla </w:t>
      </w:r>
      <w:r w:rsidRPr="00383950">
        <w:rPr>
          <w:rFonts w:ascii="Garamond" w:hAnsi="Garamond"/>
          <w:sz w:val="22"/>
          <w:szCs w:val="22"/>
        </w:rPr>
        <w:lastRenderedPageBreak/>
        <w:t xml:space="preserve">Sala Stirling, dove sono custodite le carte che sono alla base di tutto il suo fare. Questa pubblicazione, nata in occasione della mostra </w:t>
      </w:r>
      <w:r w:rsidRPr="00383950">
        <w:rPr>
          <w:rFonts w:ascii="Garamond" w:hAnsi="Garamond"/>
          <w:i/>
          <w:iCs/>
          <w:sz w:val="22"/>
          <w:szCs w:val="22"/>
        </w:rPr>
        <w:t>Paladino</w:t>
      </w:r>
      <w:r w:rsidRPr="00383950">
        <w:rPr>
          <w:rFonts w:ascii="Garamond" w:hAnsi="Garamond"/>
          <w:sz w:val="22"/>
          <w:szCs w:val="22"/>
        </w:rPr>
        <w:t xml:space="preserve"> a Palazzo Citterio e parallelamente a essa come progetto curatoriale, è anzitutto l’occasione per una ricognizione su tutta quella fase del lavoro di Paladino che travalica la bidimensionalità per diventare luogo da abitare, ovvero uno spazio corale. Perciò il volume è denso di immagini, storiche e recenti, provenienti dall’archivio dell’artista a Milano e dallo studio di Paduli. </w:t>
      </w:r>
    </w:p>
    <w:p w14:paraId="574CB09B" w14:textId="77777777" w:rsidR="00B46A9C" w:rsidRPr="00383950" w:rsidRDefault="00B46A9C" w:rsidP="00B46A9C">
      <w:pPr>
        <w:spacing w:after="0"/>
        <w:jc w:val="both"/>
        <w:rPr>
          <w:rFonts w:ascii="Garamond" w:hAnsi="Garamond"/>
          <w:sz w:val="22"/>
          <w:szCs w:val="22"/>
        </w:rPr>
      </w:pPr>
    </w:p>
    <w:p w14:paraId="4AED1BBE" w14:textId="4E690972" w:rsidR="00B46A9C" w:rsidRPr="00383950" w:rsidRDefault="00B46A9C" w:rsidP="00B46A9C">
      <w:pPr>
        <w:spacing w:after="0"/>
        <w:jc w:val="both"/>
        <w:rPr>
          <w:rFonts w:ascii="Garamond" w:hAnsi="Garamond"/>
          <w:sz w:val="22"/>
          <w:szCs w:val="22"/>
        </w:rPr>
      </w:pPr>
      <w:r w:rsidRPr="00383950">
        <w:rPr>
          <w:rFonts w:ascii="Garamond" w:hAnsi="Garamond"/>
          <w:sz w:val="22"/>
          <w:szCs w:val="22"/>
        </w:rPr>
        <w:t>Milano, 15 maggio 2026</w:t>
      </w:r>
    </w:p>
    <w:p w14:paraId="3C3C7460" w14:textId="77777777" w:rsidR="00B46A9C" w:rsidRPr="00383950" w:rsidRDefault="00B46A9C" w:rsidP="00B46A9C">
      <w:pPr>
        <w:spacing w:after="0"/>
        <w:jc w:val="both"/>
        <w:rPr>
          <w:rFonts w:ascii="Garamond" w:hAnsi="Garamond"/>
          <w:sz w:val="22"/>
          <w:szCs w:val="22"/>
        </w:rPr>
      </w:pPr>
    </w:p>
    <w:p w14:paraId="79DEE954" w14:textId="15EFDB1F" w:rsidR="00B46A9C" w:rsidRPr="00383950" w:rsidRDefault="00B46A9C" w:rsidP="00B46A9C">
      <w:pPr>
        <w:spacing w:after="0"/>
        <w:jc w:val="both"/>
        <w:rPr>
          <w:rFonts w:ascii="Garamond" w:hAnsi="Garamond"/>
          <w:b/>
          <w:bCs/>
          <w:sz w:val="22"/>
          <w:szCs w:val="22"/>
        </w:rPr>
      </w:pPr>
      <w:r w:rsidRPr="00383950">
        <w:rPr>
          <w:rFonts w:ascii="Garamond" w:hAnsi="Garamond"/>
          <w:b/>
          <w:bCs/>
          <w:sz w:val="22"/>
          <w:szCs w:val="22"/>
        </w:rPr>
        <w:t>* Estratto dal testo in catalogo Metilene Edizioni.</w:t>
      </w:r>
    </w:p>
    <w:sectPr w:rsidR="00B46A9C" w:rsidRPr="00383950">
      <w:headerReference w:type="default" r:id="rId9"/>
      <w:headerReference w:type="first" r:id="rId10"/>
      <w:footerReference w:type="first" r:id="rId11"/>
      <w:pgSz w:w="11900" w:h="16840"/>
      <w:pgMar w:top="2552" w:right="1134" w:bottom="1848" w:left="3969" w:header="709" w:footer="709"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35375E" w14:textId="77777777" w:rsidR="002F092E" w:rsidRDefault="002F092E">
      <w:pPr>
        <w:spacing w:after="0" w:line="240" w:lineRule="auto"/>
      </w:pPr>
      <w:r>
        <w:separator/>
      </w:r>
    </w:p>
  </w:endnote>
  <w:endnote w:type="continuationSeparator" w:id="0">
    <w:p w14:paraId="7503B021" w14:textId="77777777" w:rsidR="002F092E" w:rsidRDefault="002F092E">
      <w:pPr>
        <w:spacing w:after="0" w:line="240" w:lineRule="auto"/>
      </w:pPr>
      <w:r>
        <w:continuationSeparator/>
      </w:r>
    </w:p>
  </w:endnote>
  <w:endnote w:type="continuationNotice" w:id="1">
    <w:p w14:paraId="024C0FB5" w14:textId="77777777" w:rsidR="002F092E" w:rsidRDefault="002F092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00"/>
    <w:family w:val="roman"/>
    <w:pitch w:val="default"/>
  </w:font>
  <w:font w:name="Aptos">
    <w:charset w:val="00"/>
    <w:family w:val="swiss"/>
    <w:pitch w:val="variable"/>
    <w:sig w:usb0="20000287" w:usb1="00000003" w:usb2="00000000" w:usb3="00000000" w:csb0="0000019F" w:csb1="00000000"/>
  </w:font>
  <w:font w:name="Helvetica Neue">
    <w:altName w:val="Sylfaen"/>
    <w:charset w:val="00"/>
    <w:family w:val="roman"/>
    <w:pitch w:val="default"/>
  </w:font>
  <w:font w:name="Arial">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E04C0E" w14:textId="77777777" w:rsidR="000B6EDA" w:rsidRDefault="000B6EDA">
    <w:pPr>
      <w:pStyle w:val="Pidipagina"/>
      <w:tabs>
        <w:tab w:val="clear" w:pos="9638"/>
        <w:tab w:val="right" w:pos="6777"/>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755DDE" w14:textId="77777777" w:rsidR="002F092E" w:rsidRDefault="002F092E">
      <w:pPr>
        <w:spacing w:after="0" w:line="240" w:lineRule="auto"/>
      </w:pPr>
      <w:r>
        <w:separator/>
      </w:r>
    </w:p>
  </w:footnote>
  <w:footnote w:type="continuationSeparator" w:id="0">
    <w:p w14:paraId="09BE0310" w14:textId="77777777" w:rsidR="002F092E" w:rsidRDefault="002F092E">
      <w:pPr>
        <w:spacing w:after="0" w:line="240" w:lineRule="auto"/>
      </w:pPr>
      <w:r>
        <w:continuationSeparator/>
      </w:r>
    </w:p>
  </w:footnote>
  <w:footnote w:type="continuationNotice" w:id="1">
    <w:p w14:paraId="5860DC2D" w14:textId="77777777" w:rsidR="002F092E" w:rsidRDefault="002F092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BC6AC4" w14:textId="77777777" w:rsidR="000B6EDA" w:rsidRDefault="009A42B0">
    <w:pPr>
      <w:pStyle w:val="Intestazione"/>
      <w:tabs>
        <w:tab w:val="clear" w:pos="9638"/>
        <w:tab w:val="right" w:pos="6777"/>
      </w:tabs>
    </w:pPr>
    <w:r>
      <w:rPr>
        <w:noProof/>
      </w:rPr>
      <w:drawing>
        <wp:anchor distT="152400" distB="152400" distL="152400" distR="152400" simplePos="0" relativeHeight="251658240" behindDoc="1" locked="0" layoutInCell="1" allowOverlap="1" wp14:anchorId="4CAB8049" wp14:editId="6A653D9E">
          <wp:simplePos x="0" y="0"/>
          <wp:positionH relativeFrom="page">
            <wp:posOffset>3809</wp:posOffset>
          </wp:positionH>
          <wp:positionV relativeFrom="page">
            <wp:posOffset>0</wp:posOffset>
          </wp:positionV>
          <wp:extent cx="2160000" cy="2703600"/>
          <wp:effectExtent l="0" t="0" r="0" b="0"/>
          <wp:wrapNone/>
          <wp:docPr id="1073741825" name="officeArt object" descr="Immagine che contiene testo, schermata, Carattere, design&#10;&#10;Descrizione generata automaticamente"/>
          <wp:cNvGraphicFramePr/>
          <a:graphic xmlns:a="http://schemas.openxmlformats.org/drawingml/2006/main">
            <a:graphicData uri="http://schemas.openxmlformats.org/drawingml/2006/picture">
              <pic:pic xmlns:pic="http://schemas.openxmlformats.org/drawingml/2006/picture">
                <pic:nvPicPr>
                  <pic:cNvPr id="1073741825" name="Immagine che contiene testo, schermata, Carattere, designDescrizione generata automaticamente" descr="Immagine che contiene testo, schermata, Carattere, designDescrizione generata automaticamente"/>
                  <pic:cNvPicPr>
                    <a:picLocks noChangeAspect="1"/>
                  </pic:cNvPicPr>
                </pic:nvPicPr>
                <pic:blipFill>
                  <a:blip r:embed="rId1"/>
                  <a:stretch>
                    <a:fillRect/>
                  </a:stretch>
                </pic:blipFill>
                <pic:spPr>
                  <a:xfrm>
                    <a:off x="0" y="0"/>
                    <a:ext cx="2160000" cy="2703600"/>
                  </a:xfrm>
                  <a:prstGeom prst="rect">
                    <a:avLst/>
                  </a:prstGeom>
                  <a:ln w="12700" cap="flat">
                    <a:noFill/>
                    <a:miter lim="400000"/>
                  </a:ln>
                  <a:effectLst/>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93C2F2" w14:textId="77777777" w:rsidR="000B6EDA" w:rsidRDefault="009A42B0">
    <w:pPr>
      <w:pStyle w:val="Intestazione"/>
      <w:tabs>
        <w:tab w:val="clear" w:pos="9638"/>
        <w:tab w:val="right" w:pos="6777"/>
      </w:tabs>
    </w:pPr>
    <w:r>
      <w:rPr>
        <w:noProof/>
      </w:rPr>
      <w:drawing>
        <wp:anchor distT="152400" distB="152400" distL="152400" distR="152400" simplePos="0" relativeHeight="251658241" behindDoc="1" locked="0" layoutInCell="1" allowOverlap="1" wp14:anchorId="48F9D314" wp14:editId="332389B2">
          <wp:simplePos x="0" y="0"/>
          <wp:positionH relativeFrom="page">
            <wp:posOffset>1994</wp:posOffset>
          </wp:positionH>
          <wp:positionV relativeFrom="page">
            <wp:posOffset>91</wp:posOffset>
          </wp:positionV>
          <wp:extent cx="2160000" cy="2703600"/>
          <wp:effectExtent l="0" t="0" r="0" b="0"/>
          <wp:wrapNone/>
          <wp:docPr id="1073741826" name="officeArt object" descr="Immagine che contiene testo, schermata, Carattere, design&#10;&#10;Descrizione generata automaticamente"/>
          <wp:cNvGraphicFramePr/>
          <a:graphic xmlns:a="http://schemas.openxmlformats.org/drawingml/2006/main">
            <a:graphicData uri="http://schemas.openxmlformats.org/drawingml/2006/picture">
              <pic:pic xmlns:pic="http://schemas.openxmlformats.org/drawingml/2006/picture">
                <pic:nvPicPr>
                  <pic:cNvPr id="1073741826" name="Immagine che contiene testo, schermata, Carattere, designDescrizione generata automaticamente" descr="Immagine che contiene testo, schermata, Carattere, designDescrizione generata automaticamente"/>
                  <pic:cNvPicPr>
                    <a:picLocks noChangeAspect="1"/>
                  </pic:cNvPicPr>
                </pic:nvPicPr>
                <pic:blipFill>
                  <a:blip r:embed="rId1"/>
                  <a:stretch>
                    <a:fillRect/>
                  </a:stretch>
                </pic:blipFill>
                <pic:spPr>
                  <a:xfrm>
                    <a:off x="0" y="0"/>
                    <a:ext cx="2160000" cy="2703600"/>
                  </a:xfrm>
                  <a:prstGeom prst="rect">
                    <a:avLst/>
                  </a:prstGeom>
                  <a:ln w="12700" cap="flat">
                    <a:noFill/>
                    <a:miter lim="400000"/>
                  </a:ln>
                  <a:effectLst/>
                </pic:spPr>
              </pic:pic>
            </a:graphicData>
          </a:graphic>
        </wp:anchor>
      </w:drawing>
    </w:r>
    <w:r>
      <w:rPr>
        <w:noProof/>
      </w:rPr>
      <w:drawing>
        <wp:anchor distT="152400" distB="152400" distL="152400" distR="152400" simplePos="0" relativeHeight="251658242" behindDoc="1" locked="0" layoutInCell="1" allowOverlap="1" wp14:anchorId="75664CEC" wp14:editId="70A20313">
          <wp:simplePos x="0" y="0"/>
          <wp:positionH relativeFrom="page">
            <wp:posOffset>5753627</wp:posOffset>
          </wp:positionH>
          <wp:positionV relativeFrom="page">
            <wp:posOffset>9731375</wp:posOffset>
          </wp:positionV>
          <wp:extent cx="1789200" cy="903600"/>
          <wp:effectExtent l="0" t="0" r="0" b="0"/>
          <wp:wrapNone/>
          <wp:docPr id="1073741827" name="officeArt object" descr="Immagine che contiene testo, Carattere, Elementi grafici, design&#10;&#10;Descrizione generata automaticamente"/>
          <wp:cNvGraphicFramePr/>
          <a:graphic xmlns:a="http://schemas.openxmlformats.org/drawingml/2006/main">
            <a:graphicData uri="http://schemas.openxmlformats.org/drawingml/2006/picture">
              <pic:pic xmlns:pic="http://schemas.openxmlformats.org/drawingml/2006/picture">
                <pic:nvPicPr>
                  <pic:cNvPr id="1073741827" name="Immagine che contiene testo, Carattere, Elementi grafici, designDescrizione generata automaticamente" descr="Immagine che contiene testo, Carattere, Elementi grafici, designDescrizione generata automaticamente"/>
                  <pic:cNvPicPr>
                    <a:picLocks noChangeAspect="1"/>
                  </pic:cNvPicPr>
                </pic:nvPicPr>
                <pic:blipFill>
                  <a:blip r:embed="rId2"/>
                  <a:stretch>
                    <a:fillRect/>
                  </a:stretch>
                </pic:blipFill>
                <pic:spPr>
                  <a:xfrm>
                    <a:off x="0" y="0"/>
                    <a:ext cx="1789200" cy="903600"/>
                  </a:xfrm>
                  <a:prstGeom prst="rect">
                    <a:avLst/>
                  </a:prstGeom>
                  <a:ln w="12700" cap="flat">
                    <a:noFill/>
                    <a:miter lim="400000"/>
                  </a:ln>
                  <a:effectLst/>
                </pic:spPr>
              </pic:pic>
            </a:graphicData>
          </a:graphic>
        </wp:anchor>
      </w:drawing>
    </w:r>
    <w:r>
      <w:rPr>
        <w:noProof/>
      </w:rPr>
      <mc:AlternateContent>
        <mc:Choice Requires="wps">
          <w:drawing>
            <wp:anchor distT="152400" distB="152400" distL="152400" distR="152400" simplePos="0" relativeHeight="251658243" behindDoc="1" locked="0" layoutInCell="1" allowOverlap="1" wp14:anchorId="125CEE29" wp14:editId="122950EC">
              <wp:simplePos x="0" y="0"/>
              <wp:positionH relativeFrom="page">
                <wp:posOffset>799650</wp:posOffset>
              </wp:positionH>
              <wp:positionV relativeFrom="page">
                <wp:posOffset>9688830</wp:posOffset>
              </wp:positionV>
              <wp:extent cx="1463784" cy="609600"/>
              <wp:effectExtent l="0" t="0" r="0" b="0"/>
              <wp:wrapNone/>
              <wp:docPr id="1073741828" name="officeArt object" descr="Casella di testo 3"/>
              <wp:cNvGraphicFramePr/>
              <a:graphic xmlns:a="http://schemas.openxmlformats.org/drawingml/2006/main">
                <a:graphicData uri="http://schemas.microsoft.com/office/word/2010/wordprocessingShape">
                  <wps:wsp>
                    <wps:cNvSpPr txBox="1"/>
                    <wps:spPr>
                      <a:xfrm>
                        <a:off x="0" y="0"/>
                        <a:ext cx="1463784" cy="609600"/>
                      </a:xfrm>
                      <a:prstGeom prst="rect">
                        <a:avLst/>
                      </a:prstGeom>
                      <a:noFill/>
                      <a:ln w="12700" cap="flat">
                        <a:noFill/>
                        <a:miter lim="400000"/>
                      </a:ln>
                      <a:effectLst/>
                    </wps:spPr>
                    <wps:txbx>
                      <w:txbxContent>
                        <w:p w14:paraId="56121FC9" w14:textId="5E14335A" w:rsidR="000B6EDA" w:rsidRDefault="009A42B0">
                          <w:pPr>
                            <w:spacing w:after="0" w:line="220" w:lineRule="exact"/>
                            <w:rPr>
                              <w:rFonts w:ascii="Arial" w:eastAsia="Arial" w:hAnsi="Arial" w:cs="Arial"/>
                              <w:sz w:val="15"/>
                              <w:szCs w:val="15"/>
                            </w:rPr>
                          </w:pPr>
                          <w:r>
                            <w:rPr>
                              <w:rFonts w:ascii="Arial" w:hAnsi="Arial"/>
                              <w:sz w:val="15"/>
                              <w:szCs w:val="15"/>
                            </w:rPr>
                            <w:t xml:space="preserve">Via Brera </w:t>
                          </w:r>
                          <w:r w:rsidR="0084266B">
                            <w:rPr>
                              <w:rFonts w:ascii="Arial" w:hAnsi="Arial"/>
                              <w:sz w:val="15"/>
                              <w:szCs w:val="15"/>
                            </w:rPr>
                            <w:t xml:space="preserve">28 </w:t>
                          </w:r>
                          <w:proofErr w:type="gramStart"/>
                          <w:r w:rsidR="0084266B">
                            <w:rPr>
                              <w:rFonts w:ascii="Arial" w:hAnsi="Arial"/>
                              <w:sz w:val="15"/>
                              <w:szCs w:val="15"/>
                            </w:rPr>
                            <w:t>|</w:t>
                          </w:r>
                          <w:r>
                            <w:rPr>
                              <w:rFonts w:ascii="Arial" w:hAnsi="Arial"/>
                              <w:sz w:val="15"/>
                              <w:szCs w:val="15"/>
                            </w:rPr>
                            <w:t xml:space="preserve">  20121</w:t>
                          </w:r>
                          <w:proofErr w:type="gramEnd"/>
                          <w:r>
                            <w:rPr>
                              <w:rFonts w:ascii="Arial" w:hAnsi="Arial"/>
                              <w:sz w:val="15"/>
                              <w:szCs w:val="15"/>
                            </w:rPr>
                            <w:t xml:space="preserve"> Milano</w:t>
                          </w:r>
                        </w:p>
                        <w:p w14:paraId="105A48C0" w14:textId="77777777" w:rsidR="000B6EDA" w:rsidRDefault="009A42B0">
                          <w:pPr>
                            <w:spacing w:after="0" w:line="220" w:lineRule="exact"/>
                            <w:rPr>
                              <w:rFonts w:ascii="Arial" w:eastAsia="Arial" w:hAnsi="Arial" w:cs="Arial"/>
                              <w:sz w:val="15"/>
                              <w:szCs w:val="15"/>
                            </w:rPr>
                          </w:pPr>
                          <w:r>
                            <w:rPr>
                              <w:rFonts w:ascii="Arial" w:hAnsi="Arial"/>
                              <w:sz w:val="15"/>
                              <w:szCs w:val="15"/>
                            </w:rPr>
                            <w:t xml:space="preserve">+39 02 72105 141 </w:t>
                          </w:r>
                        </w:p>
                        <w:p w14:paraId="72A5A259" w14:textId="77777777" w:rsidR="000B6EDA" w:rsidRDefault="009A42B0">
                          <w:pPr>
                            <w:spacing w:after="0" w:line="220" w:lineRule="exact"/>
                            <w:rPr>
                              <w:rStyle w:val="Hyperlink0"/>
                            </w:rPr>
                          </w:pPr>
                          <w:hyperlink r:id="rId3" w:history="1">
                            <w:r>
                              <w:rPr>
                                <w:rStyle w:val="Hyperlink0"/>
                              </w:rPr>
                              <w:t>pin-br@cultura.gov.it</w:t>
                            </w:r>
                          </w:hyperlink>
                        </w:p>
                        <w:p w14:paraId="57521DCD" w14:textId="77777777" w:rsidR="000B6EDA" w:rsidRDefault="009A42B0">
                          <w:pPr>
                            <w:spacing w:after="0" w:line="220" w:lineRule="exact"/>
                          </w:pPr>
                          <w:r>
                            <w:rPr>
                              <w:rFonts w:ascii="Arial" w:hAnsi="Arial"/>
                              <w:b/>
                              <w:bCs/>
                              <w:sz w:val="15"/>
                              <w:szCs w:val="15"/>
                            </w:rPr>
                            <w:t>grandebrera.org</w:t>
                          </w:r>
                        </w:p>
                      </w:txbxContent>
                    </wps:txbx>
                    <wps:bodyPr wrap="square" lIns="0" tIns="0" rIns="0" bIns="0" numCol="1" anchor="t">
                      <a:noAutofit/>
                    </wps:bodyPr>
                  </wps:wsp>
                </a:graphicData>
              </a:graphic>
            </wp:anchor>
          </w:drawing>
        </mc:Choice>
        <mc:Fallback>
          <w:pict>
            <v:shapetype w14:anchorId="125CEE29" id="_x0000_t202" coordsize="21600,21600" o:spt="202" path="m,l,21600r21600,l21600,xe">
              <v:stroke joinstyle="miter"/>
              <v:path gradientshapeok="t" o:connecttype="rect"/>
            </v:shapetype>
            <v:shape id="officeArt object" o:spid="_x0000_s1026" type="#_x0000_t202" alt="Casella di testo 3" style="position:absolute;margin-left:62.95pt;margin-top:762.9pt;width:115.25pt;height:48pt;z-index:-251658237;visibility:visible;mso-wrap-style:square;mso-wrap-distance-left:12pt;mso-wrap-distance-top:12pt;mso-wrap-distance-right:12pt;mso-wrap-distance-bottom:12pt;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" filled="f" stroked="f" strokeweight="1pt">
              <v:stroke miterlimit="4"/>
              <v:textbox inset="0,0,0,0">
                <w:txbxContent>
                  <w:p w14:paraId="56121FC9" w14:textId="5E14335A" w:rsidR="000B6EDA" w:rsidRDefault="009A42B0">
                    <w:pPr>
                      <w:spacing w:after="0" w:line="220" w:lineRule="exact"/>
                      <w:rPr>
                        <w:rFonts w:ascii="Arial" w:eastAsia="Arial" w:hAnsi="Arial" w:cs="Arial"/>
                        <w:sz w:val="15"/>
                        <w:szCs w:val="15"/>
                      </w:rPr>
                    </w:pPr>
                    <w:r>
                      <w:rPr>
                        <w:rFonts w:ascii="Arial" w:hAnsi="Arial"/>
                        <w:sz w:val="15"/>
                        <w:szCs w:val="15"/>
                      </w:rPr>
                      <w:t xml:space="preserve">Via Brera </w:t>
                    </w:r>
                    <w:r w:rsidR="0084266B">
                      <w:rPr>
                        <w:rFonts w:ascii="Arial" w:hAnsi="Arial"/>
                        <w:sz w:val="15"/>
                        <w:szCs w:val="15"/>
                      </w:rPr>
                      <w:t xml:space="preserve">28 </w:t>
                    </w:r>
                    <w:proofErr w:type="gramStart"/>
                    <w:r w:rsidR="0084266B">
                      <w:rPr>
                        <w:rFonts w:ascii="Arial" w:hAnsi="Arial"/>
                        <w:sz w:val="15"/>
                        <w:szCs w:val="15"/>
                      </w:rPr>
                      <w:t>|</w:t>
                    </w:r>
                    <w:r>
                      <w:rPr>
                        <w:rFonts w:ascii="Arial" w:hAnsi="Arial"/>
                        <w:sz w:val="15"/>
                        <w:szCs w:val="15"/>
                      </w:rPr>
                      <w:t xml:space="preserve">  20121</w:t>
                    </w:r>
                    <w:proofErr w:type="gramEnd"/>
                    <w:r>
                      <w:rPr>
                        <w:rFonts w:ascii="Arial" w:hAnsi="Arial"/>
                        <w:sz w:val="15"/>
                        <w:szCs w:val="15"/>
                      </w:rPr>
                      <w:t xml:space="preserve"> Milano</w:t>
                    </w:r>
                  </w:p>
                  <w:p w14:paraId="105A48C0" w14:textId="77777777" w:rsidR="000B6EDA" w:rsidRDefault="009A42B0">
                    <w:pPr>
                      <w:spacing w:after="0" w:line="220" w:lineRule="exact"/>
                      <w:rPr>
                        <w:rFonts w:ascii="Arial" w:eastAsia="Arial" w:hAnsi="Arial" w:cs="Arial"/>
                        <w:sz w:val="15"/>
                        <w:szCs w:val="15"/>
                      </w:rPr>
                    </w:pPr>
                    <w:r>
                      <w:rPr>
                        <w:rFonts w:ascii="Arial" w:hAnsi="Arial"/>
                        <w:sz w:val="15"/>
                        <w:szCs w:val="15"/>
                      </w:rPr>
                      <w:t xml:space="preserve">+39 02 72105 141 </w:t>
                    </w:r>
                  </w:p>
                  <w:p w14:paraId="72A5A259" w14:textId="77777777" w:rsidR="000B6EDA" w:rsidRDefault="009A42B0">
                    <w:pPr>
                      <w:spacing w:after="0" w:line="220" w:lineRule="exact"/>
                      <w:rPr>
                        <w:rStyle w:val="Hyperlink0"/>
                      </w:rPr>
                    </w:pPr>
                    <w:hyperlink r:id="rId4" w:history="1">
                      <w:r>
                        <w:rPr>
                          <w:rStyle w:val="Hyperlink0"/>
                        </w:rPr>
                        <w:t>pin-br@cultura.gov.it</w:t>
                      </w:r>
                    </w:hyperlink>
                  </w:p>
                  <w:p w14:paraId="57521DCD" w14:textId="77777777" w:rsidR="000B6EDA" w:rsidRDefault="009A42B0">
                    <w:pPr>
                      <w:spacing w:after="0" w:line="220" w:lineRule="exact"/>
                    </w:pPr>
                    <w:r>
                      <w:rPr>
                        <w:rFonts w:ascii="Arial" w:hAnsi="Arial"/>
                        <w:b/>
                        <w:bCs/>
                        <w:sz w:val="15"/>
                        <w:szCs w:val="15"/>
                      </w:rPr>
                      <w:t>grandebrera.org</w:t>
                    </w:r>
                  </w:p>
                </w:txbxContent>
              </v:textbox>
              <w10:wrap anchorx="page" anchory="page"/>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08"/>
  <w:hyphenationZone w:val="283"/>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6EDA"/>
    <w:rsid w:val="00003601"/>
    <w:rsid w:val="00021E59"/>
    <w:rsid w:val="00026FAD"/>
    <w:rsid w:val="00056E2B"/>
    <w:rsid w:val="000B5552"/>
    <w:rsid w:val="000B6EDA"/>
    <w:rsid w:val="000D195A"/>
    <w:rsid w:val="000D5642"/>
    <w:rsid w:val="000D5BCF"/>
    <w:rsid w:val="00102395"/>
    <w:rsid w:val="00125E29"/>
    <w:rsid w:val="00126749"/>
    <w:rsid w:val="001302B7"/>
    <w:rsid w:val="00141ECA"/>
    <w:rsid w:val="00156BFB"/>
    <w:rsid w:val="00160F37"/>
    <w:rsid w:val="001626D3"/>
    <w:rsid w:val="001836CE"/>
    <w:rsid w:val="001855AF"/>
    <w:rsid w:val="001859AD"/>
    <w:rsid w:val="001905E3"/>
    <w:rsid w:val="001937B3"/>
    <w:rsid w:val="001A16BF"/>
    <w:rsid w:val="001A5777"/>
    <w:rsid w:val="001B4084"/>
    <w:rsid w:val="001C6F01"/>
    <w:rsid w:val="001E1719"/>
    <w:rsid w:val="001F15E3"/>
    <w:rsid w:val="001F70CD"/>
    <w:rsid w:val="00211B72"/>
    <w:rsid w:val="00216BBD"/>
    <w:rsid w:val="00217728"/>
    <w:rsid w:val="00235BD7"/>
    <w:rsid w:val="002510BC"/>
    <w:rsid w:val="002551D1"/>
    <w:rsid w:val="00277C94"/>
    <w:rsid w:val="00281D35"/>
    <w:rsid w:val="0028630E"/>
    <w:rsid w:val="002868B8"/>
    <w:rsid w:val="00293639"/>
    <w:rsid w:val="002A5011"/>
    <w:rsid w:val="002A70B0"/>
    <w:rsid w:val="002D085C"/>
    <w:rsid w:val="002E0B83"/>
    <w:rsid w:val="002F092E"/>
    <w:rsid w:val="002F12F2"/>
    <w:rsid w:val="002F348E"/>
    <w:rsid w:val="002F3B58"/>
    <w:rsid w:val="0030374B"/>
    <w:rsid w:val="0030544B"/>
    <w:rsid w:val="00316985"/>
    <w:rsid w:val="0031737E"/>
    <w:rsid w:val="00334207"/>
    <w:rsid w:val="00380262"/>
    <w:rsid w:val="00381FCD"/>
    <w:rsid w:val="00383950"/>
    <w:rsid w:val="003C5247"/>
    <w:rsid w:val="003E4748"/>
    <w:rsid w:val="0043017E"/>
    <w:rsid w:val="00431C95"/>
    <w:rsid w:val="00433DD3"/>
    <w:rsid w:val="004450D2"/>
    <w:rsid w:val="00450CCE"/>
    <w:rsid w:val="0045452A"/>
    <w:rsid w:val="004548E9"/>
    <w:rsid w:val="004556D0"/>
    <w:rsid w:val="00455C09"/>
    <w:rsid w:val="00473339"/>
    <w:rsid w:val="00486AAF"/>
    <w:rsid w:val="00493B21"/>
    <w:rsid w:val="00495132"/>
    <w:rsid w:val="004957DC"/>
    <w:rsid w:val="004B7601"/>
    <w:rsid w:val="004E2103"/>
    <w:rsid w:val="004F0087"/>
    <w:rsid w:val="00505D82"/>
    <w:rsid w:val="00506A8B"/>
    <w:rsid w:val="00512FCC"/>
    <w:rsid w:val="00514CCC"/>
    <w:rsid w:val="00531596"/>
    <w:rsid w:val="00567893"/>
    <w:rsid w:val="00572EFD"/>
    <w:rsid w:val="00590765"/>
    <w:rsid w:val="005A1E34"/>
    <w:rsid w:val="005B54B9"/>
    <w:rsid w:val="005E24AB"/>
    <w:rsid w:val="005E67BD"/>
    <w:rsid w:val="005F6DEE"/>
    <w:rsid w:val="00606BD6"/>
    <w:rsid w:val="00620E3C"/>
    <w:rsid w:val="0062566F"/>
    <w:rsid w:val="00625B34"/>
    <w:rsid w:val="00637CAC"/>
    <w:rsid w:val="00652028"/>
    <w:rsid w:val="006802B6"/>
    <w:rsid w:val="00682AC9"/>
    <w:rsid w:val="00685E70"/>
    <w:rsid w:val="0069719F"/>
    <w:rsid w:val="006E7341"/>
    <w:rsid w:val="006F1ECC"/>
    <w:rsid w:val="006F2EE2"/>
    <w:rsid w:val="006F6778"/>
    <w:rsid w:val="00712C50"/>
    <w:rsid w:val="007444BB"/>
    <w:rsid w:val="00755036"/>
    <w:rsid w:val="00775776"/>
    <w:rsid w:val="007845D7"/>
    <w:rsid w:val="007A21FE"/>
    <w:rsid w:val="007B27A0"/>
    <w:rsid w:val="007B5247"/>
    <w:rsid w:val="007B7321"/>
    <w:rsid w:val="007C5467"/>
    <w:rsid w:val="007C7FED"/>
    <w:rsid w:val="007D1818"/>
    <w:rsid w:val="007D684C"/>
    <w:rsid w:val="00804FE9"/>
    <w:rsid w:val="00814836"/>
    <w:rsid w:val="008326E5"/>
    <w:rsid w:val="0084266B"/>
    <w:rsid w:val="00843937"/>
    <w:rsid w:val="0084443F"/>
    <w:rsid w:val="00876189"/>
    <w:rsid w:val="0088197F"/>
    <w:rsid w:val="008A14E9"/>
    <w:rsid w:val="008A2CDF"/>
    <w:rsid w:val="008A7871"/>
    <w:rsid w:val="008B3B57"/>
    <w:rsid w:val="008E1992"/>
    <w:rsid w:val="008E4DC5"/>
    <w:rsid w:val="00903972"/>
    <w:rsid w:val="00921D5F"/>
    <w:rsid w:val="0093406D"/>
    <w:rsid w:val="00941FCE"/>
    <w:rsid w:val="0095475B"/>
    <w:rsid w:val="009608DB"/>
    <w:rsid w:val="00960BA2"/>
    <w:rsid w:val="009657FD"/>
    <w:rsid w:val="009673C0"/>
    <w:rsid w:val="0098538F"/>
    <w:rsid w:val="00986392"/>
    <w:rsid w:val="009A42B0"/>
    <w:rsid w:val="009A658D"/>
    <w:rsid w:val="009C2896"/>
    <w:rsid w:val="009C6E6E"/>
    <w:rsid w:val="009C6F55"/>
    <w:rsid w:val="009D3FF5"/>
    <w:rsid w:val="009D6414"/>
    <w:rsid w:val="009E47CD"/>
    <w:rsid w:val="009F3B9B"/>
    <w:rsid w:val="009F707A"/>
    <w:rsid w:val="00A1103D"/>
    <w:rsid w:val="00A2152D"/>
    <w:rsid w:val="00A3124A"/>
    <w:rsid w:val="00A37476"/>
    <w:rsid w:val="00A37789"/>
    <w:rsid w:val="00A6076D"/>
    <w:rsid w:val="00A6308E"/>
    <w:rsid w:val="00A64F8F"/>
    <w:rsid w:val="00A70D5B"/>
    <w:rsid w:val="00A7341D"/>
    <w:rsid w:val="00A85A5B"/>
    <w:rsid w:val="00AD5F26"/>
    <w:rsid w:val="00AE6026"/>
    <w:rsid w:val="00AF692E"/>
    <w:rsid w:val="00B2111F"/>
    <w:rsid w:val="00B26BB5"/>
    <w:rsid w:val="00B273D8"/>
    <w:rsid w:val="00B31A37"/>
    <w:rsid w:val="00B453B1"/>
    <w:rsid w:val="00B46A9C"/>
    <w:rsid w:val="00B606BD"/>
    <w:rsid w:val="00B75A03"/>
    <w:rsid w:val="00B80D25"/>
    <w:rsid w:val="00B81CF0"/>
    <w:rsid w:val="00BA5CB2"/>
    <w:rsid w:val="00BA7A72"/>
    <w:rsid w:val="00BB284B"/>
    <w:rsid w:val="00BC0BC9"/>
    <w:rsid w:val="00BC2BB2"/>
    <w:rsid w:val="00BE0747"/>
    <w:rsid w:val="00BE2AD0"/>
    <w:rsid w:val="00BE61C4"/>
    <w:rsid w:val="00BF0622"/>
    <w:rsid w:val="00BF32F1"/>
    <w:rsid w:val="00C05107"/>
    <w:rsid w:val="00C173DC"/>
    <w:rsid w:val="00C22792"/>
    <w:rsid w:val="00C25599"/>
    <w:rsid w:val="00C26754"/>
    <w:rsid w:val="00C43420"/>
    <w:rsid w:val="00C6052E"/>
    <w:rsid w:val="00C9141C"/>
    <w:rsid w:val="00CA3439"/>
    <w:rsid w:val="00CB3AFC"/>
    <w:rsid w:val="00CB5E77"/>
    <w:rsid w:val="00CE210C"/>
    <w:rsid w:val="00CE5536"/>
    <w:rsid w:val="00CE7E01"/>
    <w:rsid w:val="00CF7B35"/>
    <w:rsid w:val="00D050FE"/>
    <w:rsid w:val="00D13E95"/>
    <w:rsid w:val="00D4206B"/>
    <w:rsid w:val="00D513AC"/>
    <w:rsid w:val="00D60B5C"/>
    <w:rsid w:val="00D864E4"/>
    <w:rsid w:val="00D94B1B"/>
    <w:rsid w:val="00DA3006"/>
    <w:rsid w:val="00DB36B7"/>
    <w:rsid w:val="00DC2D46"/>
    <w:rsid w:val="00DC6677"/>
    <w:rsid w:val="00E03DFE"/>
    <w:rsid w:val="00E07C7E"/>
    <w:rsid w:val="00E1028E"/>
    <w:rsid w:val="00E26AA6"/>
    <w:rsid w:val="00E44C77"/>
    <w:rsid w:val="00E500C9"/>
    <w:rsid w:val="00E5428D"/>
    <w:rsid w:val="00E574DB"/>
    <w:rsid w:val="00E7597C"/>
    <w:rsid w:val="00EB47BF"/>
    <w:rsid w:val="00EC243A"/>
    <w:rsid w:val="00EC30E2"/>
    <w:rsid w:val="00ED6DBA"/>
    <w:rsid w:val="00EE6CF9"/>
    <w:rsid w:val="00EF4640"/>
    <w:rsid w:val="00F0104D"/>
    <w:rsid w:val="00F03B44"/>
    <w:rsid w:val="00F14E53"/>
    <w:rsid w:val="00F57996"/>
    <w:rsid w:val="00F9060C"/>
    <w:rsid w:val="00FE59A3"/>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CF0B80"/>
  <w15:docId w15:val="{7A08169E-EF49-4E0E-A242-09741E80D8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it-IT" w:eastAsia="it-I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pPr>
      <w:spacing w:after="160" w:line="278" w:lineRule="auto"/>
    </w:pPr>
    <w:rPr>
      <w:rFonts w:ascii="Aptos" w:eastAsia="Aptos" w:hAnsi="Aptos" w:cs="Aptos"/>
      <w:color w:val="000000"/>
      <w:kern w:val="2"/>
      <w:sz w:val="24"/>
      <w:szCs w:val="24"/>
      <w:u w:color="000000"/>
    </w:rPr>
  </w:style>
  <w:style w:type="paragraph" w:styleId="Titolo4">
    <w:name w:val="heading 4"/>
    <w:basedOn w:val="Normale"/>
    <w:next w:val="Normale"/>
    <w:link w:val="Titolo4Carattere"/>
    <w:uiPriority w:val="9"/>
    <w:semiHidden/>
    <w:unhideWhenUsed/>
    <w:qFormat/>
    <w:rsid w:val="00F14E53"/>
    <w:pPr>
      <w:keepNext/>
      <w:keepLines/>
      <w:spacing w:before="40" w:after="0"/>
      <w:outlineLvl w:val="3"/>
    </w:pPr>
    <w:rPr>
      <w:rFonts w:asciiTheme="majorHAnsi" w:eastAsiaTheme="majorEastAsia" w:hAnsiTheme="majorHAnsi" w:cstheme="majorBidi"/>
      <w:i/>
      <w:iCs/>
      <w:color w:val="0F4761" w:themeColor="accent1" w:themeShade="BF"/>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Collegamentoipertestuale">
    <w:name w:val="Hyperlink"/>
    <w:rPr>
      <w:u w:val="single"/>
    </w:rPr>
  </w:style>
  <w:style w:type="paragraph" w:styleId="Intestazione">
    <w:name w:val="header"/>
    <w:pPr>
      <w:tabs>
        <w:tab w:val="center" w:pos="4819"/>
        <w:tab w:val="right" w:pos="9638"/>
      </w:tabs>
    </w:pPr>
    <w:rPr>
      <w:rFonts w:ascii="Aptos" w:eastAsia="Aptos" w:hAnsi="Aptos" w:cs="Aptos"/>
      <w:color w:val="000000"/>
      <w:kern w:val="2"/>
      <w:sz w:val="24"/>
      <w:szCs w:val="24"/>
      <w:u w:color="000000"/>
      <w14:textOutline w14:w="0" w14:cap="flat" w14:cmpd="sng" w14:algn="ctr">
        <w14:noFill/>
        <w14:prstDash w14:val="solid"/>
        <w14:bevel/>
      </w14:textOutline>
    </w:rPr>
  </w:style>
  <w:style w:type="paragraph" w:customStyle="1" w:styleId="Intestazioneepidipagina">
    <w:name w:val="Intestazione e piè di pagina"/>
    <w:pPr>
      <w:tabs>
        <w:tab w:val="right" w:pos="9020"/>
      </w:tabs>
    </w:pPr>
    <w:rPr>
      <w:rFonts w:ascii="Helvetica Neue" w:hAnsi="Helvetica Neue" w:cs="Arial Unicode MS"/>
      <w:color w:val="000000"/>
      <w:sz w:val="24"/>
      <w:szCs w:val="24"/>
      <w14:textOutline w14:w="0" w14:cap="flat" w14:cmpd="sng" w14:algn="ctr">
        <w14:noFill/>
        <w14:prstDash w14:val="solid"/>
        <w14:bevel/>
      </w14:textOutline>
    </w:rPr>
  </w:style>
  <w:style w:type="character" w:customStyle="1" w:styleId="Link">
    <w:name w:val="Link"/>
    <w:rPr>
      <w:outline w:val="0"/>
      <w:color w:val="467886"/>
      <w:u w:val="single" w:color="467886"/>
    </w:rPr>
  </w:style>
  <w:style w:type="character" w:customStyle="1" w:styleId="Hyperlink0">
    <w:name w:val="Hyperlink.0"/>
    <w:basedOn w:val="Link"/>
    <w:rPr>
      <w:rFonts w:ascii="Arial" w:eastAsia="Arial" w:hAnsi="Arial" w:cs="Arial"/>
      <w:outline w:val="0"/>
      <w:color w:val="000000"/>
      <w:sz w:val="15"/>
      <w:szCs w:val="15"/>
      <w:u w:val="none" w:color="000000"/>
    </w:rPr>
  </w:style>
  <w:style w:type="paragraph" w:styleId="Pidipagina">
    <w:name w:val="footer"/>
    <w:pPr>
      <w:tabs>
        <w:tab w:val="center" w:pos="4819"/>
        <w:tab w:val="right" w:pos="9638"/>
      </w:tabs>
    </w:pPr>
    <w:rPr>
      <w:rFonts w:ascii="Aptos" w:eastAsia="Aptos" w:hAnsi="Aptos" w:cs="Aptos"/>
      <w:color w:val="000000"/>
      <w:kern w:val="2"/>
      <w:sz w:val="24"/>
      <w:szCs w:val="24"/>
      <w:u w:color="000000"/>
    </w:rPr>
  </w:style>
  <w:style w:type="character" w:styleId="Menzionenonrisolta">
    <w:name w:val="Unresolved Mention"/>
    <w:basedOn w:val="Carpredefinitoparagrafo"/>
    <w:uiPriority w:val="99"/>
    <w:semiHidden/>
    <w:unhideWhenUsed/>
    <w:rsid w:val="009A42B0"/>
    <w:rPr>
      <w:color w:val="605E5C"/>
      <w:shd w:val="clear" w:color="auto" w:fill="E1DFDD"/>
    </w:rPr>
  </w:style>
  <w:style w:type="paragraph" w:styleId="Revisione">
    <w:name w:val="Revision"/>
    <w:hidden/>
    <w:uiPriority w:val="99"/>
    <w:semiHidden/>
    <w:rsid w:val="00512FCC"/>
    <w:pPr>
      <w:pBdr>
        <w:top w:val="none" w:sz="0" w:space="0" w:color="auto"/>
        <w:left w:val="none" w:sz="0" w:space="0" w:color="auto"/>
        <w:bottom w:val="none" w:sz="0" w:space="0" w:color="auto"/>
        <w:right w:val="none" w:sz="0" w:space="0" w:color="auto"/>
        <w:between w:val="none" w:sz="0" w:space="0" w:color="auto"/>
        <w:bar w:val="none" w:sz="0" w:color="auto"/>
      </w:pBdr>
    </w:pPr>
    <w:rPr>
      <w:rFonts w:ascii="Aptos" w:eastAsia="Aptos" w:hAnsi="Aptos" w:cs="Aptos"/>
      <w:color w:val="000000"/>
      <w:kern w:val="2"/>
      <w:sz w:val="24"/>
      <w:szCs w:val="24"/>
      <w:u w:color="000000"/>
    </w:rPr>
  </w:style>
  <w:style w:type="paragraph" w:styleId="NormaleWeb">
    <w:name w:val="Normal (Web)"/>
    <w:basedOn w:val="Normale"/>
    <w:uiPriority w:val="99"/>
    <w:unhideWhenUsed/>
    <w:rsid w:val="000D195A"/>
    <w:rPr>
      <w:rFonts w:ascii="Times New Roman" w:hAnsi="Times New Roman" w:cs="Times New Roman"/>
    </w:rPr>
  </w:style>
  <w:style w:type="character" w:customStyle="1" w:styleId="Titolo4Carattere">
    <w:name w:val="Titolo 4 Carattere"/>
    <w:basedOn w:val="Carpredefinitoparagrafo"/>
    <w:link w:val="Titolo4"/>
    <w:uiPriority w:val="9"/>
    <w:semiHidden/>
    <w:rsid w:val="00F14E53"/>
    <w:rPr>
      <w:rFonts w:asciiTheme="majorHAnsi" w:eastAsiaTheme="majorEastAsia" w:hAnsiTheme="majorHAnsi" w:cstheme="majorBidi"/>
      <w:i/>
      <w:iCs/>
      <w:color w:val="0F4761" w:themeColor="accent1" w:themeShade="BF"/>
      <w:kern w:val="2"/>
      <w:sz w:val="24"/>
      <w:szCs w:val="24"/>
      <w:u w:color="000000"/>
    </w:rPr>
  </w:style>
  <w:style w:type="table" w:customStyle="1" w:styleId="TableNormal1">
    <w:name w:val="Table Normal1"/>
    <w:rsid w:val="00876189"/>
    <w:tblPr>
      <w:tblInd w:w="0" w:type="dxa"/>
      <w:tblCellMar>
        <w:top w:w="0" w:type="dxa"/>
        <w:left w:w="0" w:type="dxa"/>
        <w:bottom w:w="0" w:type="dxa"/>
        <w:right w:w="0" w:type="dxa"/>
      </w:tblCellMar>
    </w:tblPr>
  </w:style>
  <w:style w:type="paragraph" w:styleId="Testonotaapidipagina">
    <w:name w:val="footnote text"/>
    <w:basedOn w:val="Normale"/>
    <w:link w:val="TestonotaapidipaginaCarattere"/>
    <w:uiPriority w:val="99"/>
    <w:semiHidden/>
    <w:unhideWhenUsed/>
    <w:rsid w:val="00B46A9C"/>
    <w:pPr>
      <w:spacing w:after="0" w:line="240" w:lineRule="auto"/>
    </w:pPr>
    <w:rPr>
      <w:sz w:val="20"/>
      <w:szCs w:val="20"/>
    </w:rPr>
  </w:style>
  <w:style w:type="character" w:customStyle="1" w:styleId="TestonotaapidipaginaCarattere">
    <w:name w:val="Testo nota a piè di pagina Carattere"/>
    <w:basedOn w:val="Carpredefinitoparagrafo"/>
    <w:link w:val="Testonotaapidipagina"/>
    <w:uiPriority w:val="99"/>
    <w:semiHidden/>
    <w:rsid w:val="00B46A9C"/>
    <w:rPr>
      <w:rFonts w:ascii="Aptos" w:eastAsia="Aptos" w:hAnsi="Aptos" w:cs="Aptos"/>
      <w:color w:val="000000"/>
      <w:kern w:val="2"/>
      <w:u w:color="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3662887">
      <w:bodyDiv w:val="1"/>
      <w:marLeft w:val="0"/>
      <w:marRight w:val="0"/>
      <w:marTop w:val="0"/>
      <w:marBottom w:val="0"/>
      <w:divBdr>
        <w:top w:val="none" w:sz="0" w:space="0" w:color="auto"/>
        <w:left w:val="none" w:sz="0" w:space="0" w:color="auto"/>
        <w:bottom w:val="none" w:sz="0" w:space="0" w:color="auto"/>
        <w:right w:val="none" w:sz="0" w:space="0" w:color="auto"/>
      </w:divBdr>
    </w:div>
    <w:div w:id="636883813">
      <w:bodyDiv w:val="1"/>
      <w:marLeft w:val="0"/>
      <w:marRight w:val="0"/>
      <w:marTop w:val="0"/>
      <w:marBottom w:val="0"/>
      <w:divBdr>
        <w:top w:val="none" w:sz="0" w:space="0" w:color="auto"/>
        <w:left w:val="none" w:sz="0" w:space="0" w:color="auto"/>
        <w:bottom w:val="none" w:sz="0" w:space="0" w:color="auto"/>
        <w:right w:val="none" w:sz="0" w:space="0" w:color="auto"/>
      </w:divBdr>
    </w:div>
    <w:div w:id="822967113">
      <w:bodyDiv w:val="1"/>
      <w:marLeft w:val="0"/>
      <w:marRight w:val="0"/>
      <w:marTop w:val="0"/>
      <w:marBottom w:val="0"/>
      <w:divBdr>
        <w:top w:val="none" w:sz="0" w:space="0" w:color="auto"/>
        <w:left w:val="none" w:sz="0" w:space="0" w:color="auto"/>
        <w:bottom w:val="none" w:sz="0" w:space="0" w:color="auto"/>
        <w:right w:val="none" w:sz="0" w:space="0" w:color="auto"/>
      </w:divBdr>
    </w:div>
    <w:div w:id="880630683">
      <w:bodyDiv w:val="1"/>
      <w:marLeft w:val="0"/>
      <w:marRight w:val="0"/>
      <w:marTop w:val="0"/>
      <w:marBottom w:val="0"/>
      <w:divBdr>
        <w:top w:val="none" w:sz="0" w:space="0" w:color="auto"/>
        <w:left w:val="none" w:sz="0" w:space="0" w:color="auto"/>
        <w:bottom w:val="none" w:sz="0" w:space="0" w:color="auto"/>
        <w:right w:val="none" w:sz="0" w:space="0" w:color="auto"/>
      </w:divBdr>
    </w:div>
    <w:div w:id="1295450804">
      <w:bodyDiv w:val="1"/>
      <w:marLeft w:val="0"/>
      <w:marRight w:val="0"/>
      <w:marTop w:val="0"/>
      <w:marBottom w:val="0"/>
      <w:divBdr>
        <w:top w:val="none" w:sz="0" w:space="0" w:color="auto"/>
        <w:left w:val="none" w:sz="0" w:space="0" w:color="auto"/>
        <w:bottom w:val="none" w:sz="0" w:space="0" w:color="auto"/>
        <w:right w:val="none" w:sz="0" w:space="0" w:color="auto"/>
      </w:divBdr>
    </w:div>
    <w:div w:id="1370760448">
      <w:bodyDiv w:val="1"/>
      <w:marLeft w:val="0"/>
      <w:marRight w:val="0"/>
      <w:marTop w:val="0"/>
      <w:marBottom w:val="0"/>
      <w:divBdr>
        <w:top w:val="none" w:sz="0" w:space="0" w:color="auto"/>
        <w:left w:val="none" w:sz="0" w:space="0" w:color="auto"/>
        <w:bottom w:val="none" w:sz="0" w:space="0" w:color="auto"/>
        <w:right w:val="none" w:sz="0" w:space="0" w:color="auto"/>
      </w:divBdr>
    </w:div>
    <w:div w:id="1452169562">
      <w:bodyDiv w:val="1"/>
      <w:marLeft w:val="0"/>
      <w:marRight w:val="0"/>
      <w:marTop w:val="0"/>
      <w:marBottom w:val="0"/>
      <w:divBdr>
        <w:top w:val="none" w:sz="0" w:space="0" w:color="auto"/>
        <w:left w:val="none" w:sz="0" w:space="0" w:color="auto"/>
        <w:bottom w:val="none" w:sz="0" w:space="0" w:color="auto"/>
        <w:right w:val="none" w:sz="0" w:space="0" w:color="auto"/>
      </w:divBdr>
    </w:div>
    <w:div w:id="1559199498">
      <w:bodyDiv w:val="1"/>
      <w:marLeft w:val="0"/>
      <w:marRight w:val="0"/>
      <w:marTop w:val="0"/>
      <w:marBottom w:val="0"/>
      <w:divBdr>
        <w:top w:val="none" w:sz="0" w:space="0" w:color="auto"/>
        <w:left w:val="none" w:sz="0" w:space="0" w:color="auto"/>
        <w:bottom w:val="none" w:sz="0" w:space="0" w:color="auto"/>
        <w:right w:val="none" w:sz="0" w:space="0" w:color="auto"/>
      </w:divBdr>
    </w:div>
    <w:div w:id="1574075329">
      <w:bodyDiv w:val="1"/>
      <w:marLeft w:val="0"/>
      <w:marRight w:val="0"/>
      <w:marTop w:val="0"/>
      <w:marBottom w:val="0"/>
      <w:divBdr>
        <w:top w:val="none" w:sz="0" w:space="0" w:color="auto"/>
        <w:left w:val="none" w:sz="0" w:space="0" w:color="auto"/>
        <w:bottom w:val="none" w:sz="0" w:space="0" w:color="auto"/>
        <w:right w:val="none" w:sz="0" w:space="0" w:color="auto"/>
      </w:divBdr>
    </w:div>
    <w:div w:id="1916477461">
      <w:bodyDiv w:val="1"/>
      <w:marLeft w:val="0"/>
      <w:marRight w:val="0"/>
      <w:marTop w:val="0"/>
      <w:marBottom w:val="0"/>
      <w:divBdr>
        <w:top w:val="none" w:sz="0" w:space="0" w:color="auto"/>
        <w:left w:val="none" w:sz="0" w:space="0" w:color="auto"/>
        <w:bottom w:val="none" w:sz="0" w:space="0" w:color="auto"/>
        <w:right w:val="none" w:sz="0" w:space="0" w:color="auto"/>
      </w:divBdr>
    </w:div>
    <w:div w:id="203430415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3" Type="http://schemas.openxmlformats.org/officeDocument/2006/relationships/hyperlink" Target="mailto:pin-br@cultura.gov.org" TargetMode="External"/><Relationship Id="rId2" Type="http://schemas.openxmlformats.org/officeDocument/2006/relationships/image" Target="media/image2.jpeg"/><Relationship Id="rId1" Type="http://schemas.openxmlformats.org/officeDocument/2006/relationships/image" Target="media/image1.jpeg"/><Relationship Id="rId4" Type="http://schemas.openxmlformats.org/officeDocument/2006/relationships/hyperlink" Target="mailto:pin-br@cultura.gov.org" TargetMode="External"/></Relationships>
</file>

<file path=word/theme/theme1.xml><?xml version="1.0" encoding="utf-8"?>
<a:theme xmlns:a="http://schemas.openxmlformats.org/drawingml/2006/main" name="Tema di Office">
  <a:themeElements>
    <a:clrScheme name="Tema di Office">
      <a:dk1>
        <a:srgbClr val="000000"/>
      </a:dk1>
      <a:lt1>
        <a:srgbClr val="FFFFFF"/>
      </a:lt1>
      <a:dk2>
        <a:srgbClr val="A7A7A7"/>
      </a:dk2>
      <a:lt2>
        <a:srgbClr val="535353"/>
      </a:lt2>
      <a:accent1>
        <a:srgbClr val="156082"/>
      </a:accent1>
      <a:accent2>
        <a:srgbClr val="E97132"/>
      </a:accent2>
      <a:accent3>
        <a:srgbClr val="196B24"/>
      </a:accent3>
      <a:accent4>
        <a:srgbClr val="0F9ED5"/>
      </a:accent4>
      <a:accent5>
        <a:srgbClr val="A02B93"/>
      </a:accent5>
      <a:accent6>
        <a:srgbClr val="4EA72E"/>
      </a:accent6>
      <a:hlink>
        <a:srgbClr val="0000FF"/>
      </a:hlink>
      <a:folHlink>
        <a:srgbClr val="FF00FF"/>
      </a:folHlink>
    </a:clrScheme>
    <a:fontScheme name="Tema di Office">
      <a:majorFont>
        <a:latin typeface="Helvetica Neue"/>
        <a:ea typeface="Helvetica Neue"/>
        <a:cs typeface="Helvetica Neue"/>
      </a:majorFont>
      <a:minorFont>
        <a:latin typeface="Helvetica Neue"/>
        <a:ea typeface="Helvetica Neue"/>
        <a:cs typeface="Helvetica Neue"/>
      </a:minorFont>
    </a:fontScheme>
    <a:fmtScheme name="Tema di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12700" cap="flat">
          <a:solidFill>
            <a:schemeClr val="accent1"/>
          </a:solidFill>
          <a:prstDash val="solid"/>
          <a:miter lim="800000"/>
        </a:ln>
        <a:effectLst/>
        <a:sp3d/>
      </a:spPr>
      <a:bodyPr rot="0" spcFirstLastPara="1" vertOverflow="overflow" horzOverflow="overflow" vert="horz" wrap="square" lIns="45719" tIns="45719" rIns="45719" bIns="45719"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Aptos"/>
            <a:ea typeface="Aptos"/>
            <a:cs typeface="Aptos"/>
            <a:sym typeface="Aptos"/>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solidFill>
          <a:prstDash val="solid"/>
          <a:miter lim="8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9" tIns="45719" rIns="45719" bIns="45719"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Aptos"/>
            <a:ea typeface="Aptos"/>
            <a:cs typeface="Aptos"/>
            <a:sym typeface="Aptos"/>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e6ae1104-2084-46c2-94e8-fb18143a54c8" xsi:nil="true"/>
    <lcf76f155ced4ddcb4097134ff3c332f xmlns="e51cac17-9d3b-42cf-aa66-1c7ce94de299">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CEE2951FC9A8954D98E2686339B094D3" ma:contentTypeVersion="19" ma:contentTypeDescription="Creare un nuovo documento." ma:contentTypeScope="" ma:versionID="a168cc9d4885a53b9407c9acfad6a087">
  <xsd:schema xmlns:xsd="http://www.w3.org/2001/XMLSchema" xmlns:xs="http://www.w3.org/2001/XMLSchema" xmlns:p="http://schemas.microsoft.com/office/2006/metadata/properties" xmlns:ns2="e51cac17-9d3b-42cf-aa66-1c7ce94de299" xmlns:ns3="e6ae1104-2084-46c2-94e8-fb18143a54c8" targetNamespace="http://schemas.microsoft.com/office/2006/metadata/properties" ma:root="true" ma:fieldsID="b5062027e0189409ff0969cf40af59bb" ns2:_="" ns3:_="">
    <xsd:import namespace="e51cac17-9d3b-42cf-aa66-1c7ce94de299"/>
    <xsd:import namespace="e6ae1104-2084-46c2-94e8-fb18143a54c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LengthInSeconds" minOccurs="0"/>
                <xsd:element ref="ns2:MediaServiceAutoTags" minOccurs="0"/>
                <xsd:element ref="ns2:MediaServiceGenerationTime" minOccurs="0"/>
                <xsd:element ref="ns2:MediaServiceEventHashCode" minOccurs="0"/>
                <xsd:element ref="ns2:MediaServiceOCR" minOccurs="0"/>
                <xsd:element ref="ns2:MediaServiceLocation"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51cac17-9d3b-42cf-aa66-1c7ce94de2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Tag immagine" ma:readOnly="false" ma:fieldId="{5cf76f15-5ced-4ddc-b409-7134ff3c332f}" ma:taxonomyMulti="true" ma:sspId="32750ef2-dc1e-42bb-9b8b-20a1a6cd70a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6ae1104-2084-46c2-94e8-fb18143a54c8" elementFormDefault="qualified">
    <xsd:import namespace="http://schemas.microsoft.com/office/2006/documentManagement/types"/>
    <xsd:import namespace="http://schemas.microsoft.com/office/infopath/2007/PartnerControls"/>
    <xsd:element name="SharedWithUsers" ma:index="19"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Condiviso con dettagli" ma:internalName="SharedWithDetails" ma:readOnly="true">
      <xsd:simpleType>
        <xsd:restriction base="dms:Note">
          <xsd:maxLength value="255"/>
        </xsd:restriction>
      </xsd:simpleType>
    </xsd:element>
    <xsd:element name="TaxCatchAll" ma:index="23" nillable="true" ma:displayName="Taxonomy Catch All Column" ma:hidden="true" ma:list="{990734e1-f8e3-4e3c-8931-9fe2cbf06ccc}" ma:internalName="TaxCatchAll" ma:showField="CatchAllData" ma:web="e6ae1104-2084-46c2-94e8-fb18143a54c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277C4F6-46E8-4930-96D0-CAFBD018A8A2}">
  <ds:schemaRefs>
    <ds:schemaRef ds:uri="http://schemas.microsoft.com/office/2006/metadata/properties"/>
    <ds:schemaRef ds:uri="http://schemas.microsoft.com/office/infopath/2007/PartnerControls"/>
    <ds:schemaRef ds:uri="e6ae1104-2084-46c2-94e8-fb18143a54c8"/>
    <ds:schemaRef ds:uri="e51cac17-9d3b-42cf-aa66-1c7ce94de299"/>
  </ds:schemaRefs>
</ds:datastoreItem>
</file>

<file path=customXml/itemProps2.xml><?xml version="1.0" encoding="utf-8"?>
<ds:datastoreItem xmlns:ds="http://schemas.openxmlformats.org/officeDocument/2006/customXml" ds:itemID="{F8557C21-95E5-40F4-88C7-221B5A7CC051}">
  <ds:schemaRefs>
    <ds:schemaRef ds:uri="http://schemas.microsoft.com/sharepoint/v3/contenttype/forms"/>
  </ds:schemaRefs>
</ds:datastoreItem>
</file>

<file path=customXml/itemProps3.xml><?xml version="1.0" encoding="utf-8"?>
<ds:datastoreItem xmlns:ds="http://schemas.openxmlformats.org/officeDocument/2006/customXml" ds:itemID="{72FBB76E-766E-4E6A-82F3-631A6942C3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51cac17-9d3b-42cf-aa66-1c7ce94de299"/>
    <ds:schemaRef ds:uri="e6ae1104-2084-46c2-94e8-fb18143a54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2063</Words>
  <Characters>11764</Characters>
  <Application>Microsoft Office Word</Application>
  <DocSecurity>0</DocSecurity>
  <Lines>98</Lines>
  <Paragraphs>27</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13800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Carlo Ghielmetti</dc:creator>
  <cp:keywords/>
  <cp:lastModifiedBy>Alessandra Castriotta</cp:lastModifiedBy>
  <cp:revision>3</cp:revision>
  <cp:lastPrinted>2026-05-14T08:01:00Z</cp:lastPrinted>
  <dcterms:created xsi:type="dcterms:W3CDTF">2026-05-07T15:09:00Z</dcterms:created>
  <dcterms:modified xsi:type="dcterms:W3CDTF">2026-05-14T08:06:00Z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0x010100CEE2951FC9A8954D98E2686339B094D3</vt:lpwstr>
  </property>
  <property fmtid="{D5CDD505-2E9C-101B-9397-08002B2CF9AE}" pid="3" name="MediaServiceImageTags">
    <vt:lpwstr/>
  </property>
  <property fmtid="{D5CDD505-2E9C-101B-9397-08002B2CF9AE}" pid="4" name="MSIP_Label_5f5fe31f-9de1-4167-a753-111c0df8115f_Enabled">
    <vt:lpwstr>true</vt:lpwstr>
  </property>
  <property fmtid="{D5CDD505-2E9C-101B-9397-08002B2CF9AE}" pid="5" name="MSIP_Label_5f5fe31f-9de1-4167-a753-111c0df8115f_SetDate">
    <vt:lpwstr>2025-04-29T08:43:09Z</vt:lpwstr>
  </property>
  <property fmtid="{D5CDD505-2E9C-101B-9397-08002B2CF9AE}" pid="6" name="MSIP_Label_5f5fe31f-9de1-4167-a753-111c0df8115f_Method">
    <vt:lpwstr>Standard</vt:lpwstr>
  </property>
  <property fmtid="{D5CDD505-2E9C-101B-9397-08002B2CF9AE}" pid="7" name="MSIP_Label_5f5fe31f-9de1-4167-a753-111c0df8115f_Name">
    <vt:lpwstr>5f5fe31f-9de1-4167-a753-111c0df8115f</vt:lpwstr>
  </property>
  <property fmtid="{D5CDD505-2E9C-101B-9397-08002B2CF9AE}" pid="8" name="MSIP_Label_5f5fe31f-9de1-4167-a753-111c0df8115f_SiteId">
    <vt:lpwstr>cc4baf00-15c9-48dd-9f59-88c98bde2be7</vt:lpwstr>
  </property>
  <property fmtid="{D5CDD505-2E9C-101B-9397-08002B2CF9AE}" pid="9" name="MSIP_Label_5f5fe31f-9de1-4167-a753-111c0df8115f_ActionId">
    <vt:lpwstr>9e5d4bd7-262d-49c7-a1db-1ff4f6176fff</vt:lpwstr>
  </property>
  <property fmtid="{D5CDD505-2E9C-101B-9397-08002B2CF9AE}" pid="10" name="MSIP_Label_5f5fe31f-9de1-4167-a753-111c0df8115f_ContentBits">
    <vt:lpwstr>0</vt:lpwstr>
  </property>
</Properties>
</file>