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6A924" w14:textId="4E742FF5" w:rsidR="005565F6" w:rsidRPr="00B50A8F" w:rsidRDefault="00A60AA0" w:rsidP="005565F6">
      <w:pPr>
        <w:spacing w:after="0" w:line="271" w:lineRule="auto"/>
        <w:ind w:right="2296"/>
        <w:rPr>
          <w:rFonts w:ascii="Garamond" w:hAnsi="Garamond"/>
          <w:b/>
          <w:bCs/>
          <w:color w:val="231F20"/>
          <w:u w:color="231F20"/>
        </w:rPr>
      </w:pPr>
      <w:r>
        <w:rPr>
          <w:rFonts w:ascii="Garamond" w:hAnsi="Garamond"/>
          <w:b/>
          <w:bCs/>
          <w:color w:val="231F20"/>
          <w:u w:color="231F20"/>
        </w:rPr>
        <w:t>VINCENZO TRIONE</w:t>
      </w:r>
    </w:p>
    <w:p w14:paraId="42539B27" w14:textId="3D80DDF6" w:rsidR="005565F6" w:rsidRDefault="00A60AA0" w:rsidP="005565F6">
      <w:pPr>
        <w:spacing w:after="0" w:line="271" w:lineRule="auto"/>
        <w:ind w:right="-1"/>
        <w:rPr>
          <w:rFonts w:ascii="Garamond" w:hAnsi="Garamond"/>
          <w:b/>
          <w:bCs/>
          <w:color w:val="231F20"/>
          <w:u w:color="231F20"/>
        </w:rPr>
      </w:pPr>
      <w:r>
        <w:rPr>
          <w:rFonts w:ascii="Garamond" w:hAnsi="Garamond"/>
          <w:b/>
          <w:bCs/>
          <w:i/>
          <w:iCs/>
          <w:color w:val="231F20"/>
          <w:u w:color="231F20"/>
        </w:rPr>
        <w:t xml:space="preserve">Curatore della mostra e del progetto </w:t>
      </w:r>
      <w:r w:rsidRPr="003268E1">
        <w:rPr>
          <w:rFonts w:ascii="Garamond" w:hAnsi="Garamond"/>
          <w:b/>
          <w:bCs/>
          <w:color w:val="231F20"/>
          <w:u w:color="231F20"/>
        </w:rPr>
        <w:t>Metafisica/Metafisiche</w:t>
      </w:r>
      <w:r w:rsidRPr="00A60AA0">
        <w:rPr>
          <w:rFonts w:ascii="Garamond" w:hAnsi="Garamond"/>
          <w:b/>
          <w:bCs/>
          <w:i/>
          <w:iCs/>
          <w:color w:val="231F20"/>
          <w:u w:color="231F20"/>
        </w:rPr>
        <w:t xml:space="preserve"> </w:t>
      </w:r>
    </w:p>
    <w:p w14:paraId="1C73EF2D" w14:textId="77777777" w:rsidR="005565F6" w:rsidRPr="00B50A8F" w:rsidRDefault="005565F6" w:rsidP="005565F6">
      <w:pPr>
        <w:spacing w:after="0" w:line="271" w:lineRule="auto"/>
        <w:ind w:right="-1"/>
        <w:rPr>
          <w:rFonts w:ascii="Garamond" w:hAnsi="Garamond"/>
          <w:color w:val="231F20"/>
          <w:sz w:val="22"/>
          <w:szCs w:val="22"/>
          <w:u w:color="231F20"/>
        </w:rPr>
      </w:pPr>
    </w:p>
    <w:p w14:paraId="10CEFBFD" w14:textId="77777777" w:rsidR="00A60AA0" w:rsidRDefault="00A60AA0" w:rsidP="00A60AA0">
      <w:pPr>
        <w:spacing w:after="0"/>
        <w:jc w:val="both"/>
        <w:rPr>
          <w:rFonts w:ascii="Garamond" w:hAnsi="Garamond"/>
          <w:color w:val="231F20"/>
          <w:sz w:val="22"/>
          <w:szCs w:val="22"/>
          <w:u w:color="231F20"/>
        </w:rPr>
      </w:pPr>
    </w:p>
    <w:p w14:paraId="0AA18112" w14:textId="77777777" w:rsidR="00350C4A" w:rsidRPr="00350C4A" w:rsidRDefault="00350C4A" w:rsidP="00B018A1">
      <w:pPr>
        <w:spacing w:after="120"/>
        <w:jc w:val="both"/>
        <w:rPr>
          <w:rFonts w:ascii="Garamond" w:hAnsi="Garamond"/>
          <w:color w:val="231F20"/>
          <w:sz w:val="22"/>
          <w:szCs w:val="22"/>
          <w:u w:color="231F20"/>
        </w:rPr>
      </w:pPr>
      <w:r w:rsidRPr="00350C4A">
        <w:rPr>
          <w:rFonts w:ascii="Garamond" w:hAnsi="Garamond"/>
          <w:color w:val="231F20"/>
          <w:sz w:val="22"/>
          <w:szCs w:val="22"/>
          <w:u w:color="231F20"/>
        </w:rPr>
        <w:t>Metafisica è il nome di uno tra i capitoli più appassionanti e controversi nell’avventura delle avanguardie europee.</w:t>
      </w:r>
    </w:p>
    <w:p w14:paraId="70E1330D" w14:textId="2940A07A" w:rsidR="00350C4A" w:rsidRPr="00350C4A" w:rsidRDefault="00454701" w:rsidP="00B018A1">
      <w:pPr>
        <w:spacing w:after="120"/>
        <w:jc w:val="both"/>
        <w:rPr>
          <w:rFonts w:ascii="Garamond" w:hAnsi="Garamond"/>
          <w:color w:val="231F20"/>
          <w:sz w:val="22"/>
          <w:szCs w:val="22"/>
          <w:u w:color="231F20"/>
        </w:rPr>
      </w:pPr>
      <w:r>
        <w:rPr>
          <w:rFonts w:ascii="Garamond" w:hAnsi="Garamond" w:cs="Garamond"/>
          <w:color w:val="231F20"/>
          <w:sz w:val="22"/>
          <w:szCs w:val="22"/>
          <w:u w:color="231F20"/>
        </w:rPr>
        <w:t>1917.</w:t>
      </w:r>
      <w:r w:rsidR="00350C4A" w:rsidRPr="00350C4A">
        <w:rPr>
          <w:rFonts w:ascii="Garamond" w:hAnsi="Garamond"/>
          <w:color w:val="231F20"/>
          <w:sz w:val="22"/>
          <w:szCs w:val="22"/>
          <w:u w:color="231F20"/>
        </w:rPr>
        <w:t xml:space="preserve"> Ferrara, </w:t>
      </w:r>
      <w:r w:rsidR="00350C4A" w:rsidRPr="00350C4A">
        <w:rPr>
          <w:rFonts w:ascii="Garamond" w:hAnsi="Garamond" w:cs="Garamond"/>
          <w:color w:val="231F20"/>
          <w:sz w:val="22"/>
          <w:szCs w:val="22"/>
          <w:u w:color="231F20"/>
        </w:rPr>
        <w:t>“</w:t>
      </w:r>
      <w:r w:rsidR="00350C4A" w:rsidRPr="00350C4A">
        <w:rPr>
          <w:rFonts w:ascii="Garamond" w:hAnsi="Garamond"/>
          <w:color w:val="231F20"/>
          <w:sz w:val="22"/>
          <w:szCs w:val="22"/>
          <w:u w:color="231F20"/>
        </w:rPr>
        <w:t>la citt</w:t>
      </w:r>
      <w:r w:rsidR="00350C4A" w:rsidRPr="00350C4A">
        <w:rPr>
          <w:rFonts w:ascii="Garamond" w:hAnsi="Garamond" w:cs="Garamond"/>
          <w:color w:val="231F20"/>
          <w:sz w:val="22"/>
          <w:szCs w:val="22"/>
          <w:u w:color="231F20"/>
        </w:rPr>
        <w:t>à</w:t>
      </w:r>
      <w:r w:rsidR="00350C4A" w:rsidRPr="00350C4A">
        <w:rPr>
          <w:rFonts w:ascii="Garamond" w:hAnsi="Garamond"/>
          <w:color w:val="231F20"/>
          <w:sz w:val="22"/>
          <w:szCs w:val="22"/>
          <w:u w:color="231F20"/>
        </w:rPr>
        <w:t xml:space="preserve"> delle cento meraviglie</w:t>
      </w:r>
      <w:r w:rsidR="00350C4A" w:rsidRPr="00350C4A">
        <w:rPr>
          <w:rFonts w:ascii="Garamond" w:hAnsi="Garamond" w:cs="Garamond"/>
          <w:color w:val="231F20"/>
          <w:sz w:val="22"/>
          <w:szCs w:val="22"/>
          <w:u w:color="231F20"/>
        </w:rPr>
        <w:t>”</w:t>
      </w:r>
      <w:r w:rsidR="00350C4A" w:rsidRPr="00350C4A">
        <w:rPr>
          <w:rFonts w:ascii="Garamond" w:hAnsi="Garamond"/>
          <w:color w:val="231F20"/>
          <w:sz w:val="22"/>
          <w:szCs w:val="22"/>
          <w:u w:color="231F20"/>
        </w:rPr>
        <w:t>. Presso l</w:t>
      </w:r>
      <w:r w:rsidR="00350C4A" w:rsidRPr="00350C4A">
        <w:rPr>
          <w:rFonts w:ascii="Garamond" w:hAnsi="Garamond" w:cs="Garamond"/>
          <w:color w:val="231F20"/>
          <w:sz w:val="22"/>
          <w:szCs w:val="22"/>
          <w:u w:color="231F20"/>
        </w:rPr>
        <w:t>’</w:t>
      </w:r>
      <w:r w:rsidR="00350C4A" w:rsidRPr="00350C4A">
        <w:rPr>
          <w:rFonts w:ascii="Garamond" w:hAnsi="Garamond"/>
          <w:color w:val="231F20"/>
          <w:sz w:val="22"/>
          <w:szCs w:val="22"/>
          <w:u w:color="231F20"/>
        </w:rPr>
        <w:t>ospedale psichiatrico Villa del Seminario, Giorgio de Chirico si ritrova insieme con il fratello Alberto Savinio, con Carlo Carr</w:t>
      </w:r>
      <w:r w:rsidR="00350C4A" w:rsidRPr="00350C4A">
        <w:rPr>
          <w:rFonts w:ascii="Garamond" w:hAnsi="Garamond" w:cs="Garamond"/>
          <w:color w:val="231F20"/>
          <w:sz w:val="22"/>
          <w:szCs w:val="22"/>
          <w:u w:color="231F20"/>
        </w:rPr>
        <w:t>à</w:t>
      </w:r>
      <w:r w:rsidR="00350C4A" w:rsidRPr="00350C4A">
        <w:rPr>
          <w:rFonts w:ascii="Garamond" w:hAnsi="Garamond"/>
          <w:color w:val="231F20"/>
          <w:sz w:val="22"/>
          <w:szCs w:val="22"/>
          <w:u w:color="231F20"/>
        </w:rPr>
        <w:t xml:space="preserve"> e con Filippo de Pisis. Da met</w:t>
      </w:r>
      <w:r w:rsidR="00350C4A" w:rsidRPr="00350C4A">
        <w:rPr>
          <w:rFonts w:ascii="Garamond" w:hAnsi="Garamond" w:cs="Garamond"/>
          <w:color w:val="231F20"/>
          <w:sz w:val="22"/>
          <w:szCs w:val="22"/>
          <w:u w:color="231F20"/>
        </w:rPr>
        <w:t>à</w:t>
      </w:r>
      <w:r w:rsidR="00350C4A" w:rsidRPr="00350C4A">
        <w:rPr>
          <w:rFonts w:ascii="Garamond" w:hAnsi="Garamond"/>
          <w:color w:val="231F20"/>
          <w:sz w:val="22"/>
          <w:szCs w:val="22"/>
          <w:u w:color="231F20"/>
        </w:rPr>
        <w:t xml:space="preserve"> aprile a met</w:t>
      </w:r>
      <w:r w:rsidR="00350C4A" w:rsidRPr="00350C4A">
        <w:rPr>
          <w:rFonts w:ascii="Garamond" w:hAnsi="Garamond" w:cs="Garamond"/>
          <w:color w:val="231F20"/>
          <w:sz w:val="22"/>
          <w:szCs w:val="22"/>
          <w:u w:color="231F20"/>
        </w:rPr>
        <w:t>à</w:t>
      </w:r>
      <w:r w:rsidR="00350C4A" w:rsidRPr="00350C4A">
        <w:rPr>
          <w:rFonts w:ascii="Garamond" w:hAnsi="Garamond"/>
          <w:color w:val="231F20"/>
          <w:sz w:val="22"/>
          <w:szCs w:val="22"/>
          <w:u w:color="231F20"/>
        </w:rPr>
        <w:t xml:space="preserve"> agosto: in quei quattro mesi nasce la scuola metafisica. Un quasi-movimento, in cui si ritrovano alcuni tra i pi</w:t>
      </w:r>
      <w:r w:rsidR="00350C4A" w:rsidRPr="00350C4A">
        <w:rPr>
          <w:rFonts w:ascii="Garamond" w:hAnsi="Garamond" w:cs="Garamond"/>
          <w:color w:val="231F20"/>
          <w:sz w:val="22"/>
          <w:szCs w:val="22"/>
          <w:u w:color="231F20"/>
        </w:rPr>
        <w:t>ù</w:t>
      </w:r>
      <w:r w:rsidR="00350C4A" w:rsidRPr="00350C4A">
        <w:rPr>
          <w:rFonts w:ascii="Garamond" w:hAnsi="Garamond"/>
          <w:color w:val="231F20"/>
          <w:sz w:val="22"/>
          <w:szCs w:val="22"/>
          <w:u w:color="231F20"/>
        </w:rPr>
        <w:t xml:space="preserve"> grandi solitari dell</w:t>
      </w:r>
      <w:r w:rsidR="00350C4A" w:rsidRPr="00350C4A">
        <w:rPr>
          <w:rFonts w:ascii="Garamond" w:hAnsi="Garamond" w:cs="Garamond"/>
          <w:color w:val="231F20"/>
          <w:sz w:val="22"/>
          <w:szCs w:val="22"/>
          <w:u w:color="231F20"/>
        </w:rPr>
        <w:t>’</w:t>
      </w:r>
      <w:r w:rsidR="00350C4A" w:rsidRPr="00350C4A">
        <w:rPr>
          <w:rFonts w:ascii="Garamond" w:hAnsi="Garamond"/>
          <w:color w:val="231F20"/>
          <w:sz w:val="22"/>
          <w:szCs w:val="22"/>
          <w:u w:color="231F20"/>
        </w:rPr>
        <w:t>arte italiana, accomunati dalla paura della guerra e animati da precise intenzioni. Portarsi al di l</w:t>
      </w:r>
      <w:r w:rsidR="00350C4A" w:rsidRPr="00350C4A">
        <w:rPr>
          <w:rFonts w:ascii="Garamond" w:hAnsi="Garamond" w:cs="Garamond"/>
          <w:color w:val="231F20"/>
          <w:sz w:val="22"/>
          <w:szCs w:val="22"/>
          <w:u w:color="231F20"/>
        </w:rPr>
        <w:t>à</w:t>
      </w:r>
      <w:r w:rsidR="00350C4A" w:rsidRPr="00350C4A">
        <w:rPr>
          <w:rFonts w:ascii="Garamond" w:hAnsi="Garamond"/>
          <w:color w:val="231F20"/>
          <w:sz w:val="22"/>
          <w:szCs w:val="22"/>
          <w:u w:color="231F20"/>
        </w:rPr>
        <w:t xml:space="preserve"> dei miti progressisti. Tornare a interrogare memorie lontane, senza nostalgie. Riaffermare il rilievo della tradizione, della storia dell’arte, dei valori plastici. Ribadire la centralità della pittura. E, insieme, avviare un dialogo problematico con gli artifici sperimentati dai cubisti, dai futuristi e dai dadaisti.</w:t>
      </w:r>
    </w:p>
    <w:p w14:paraId="0A707DAD" w14:textId="77777777" w:rsidR="00350C4A" w:rsidRPr="00350C4A" w:rsidRDefault="00350C4A" w:rsidP="00B018A1">
      <w:pPr>
        <w:spacing w:after="120"/>
        <w:jc w:val="both"/>
        <w:rPr>
          <w:rFonts w:ascii="Garamond" w:hAnsi="Garamond"/>
          <w:color w:val="231F20"/>
          <w:sz w:val="22"/>
          <w:szCs w:val="22"/>
          <w:u w:color="231F20"/>
        </w:rPr>
      </w:pPr>
      <w:r w:rsidRPr="00350C4A">
        <w:rPr>
          <w:rFonts w:ascii="Garamond" w:hAnsi="Garamond"/>
          <w:color w:val="231F20"/>
          <w:sz w:val="22"/>
          <w:szCs w:val="22"/>
          <w:u w:color="231F20"/>
        </w:rPr>
        <w:t xml:space="preserve">Dall’intreccio tra originarietà e originalità nasce una proposta poetica di matrice filosofica. Imparare a vedere il mondo in modo non comune, tra momenti di angoscia e di inquietante disorientamento. Squarciare il sipario delle consuetudini. Isolare alcuni elementi del presente dalla loro dimensione consueta, sprigionandone una carica di mistero. Scorgere le forme in un interstizio, tra veglia e sonno. Scoprire l’enigmaticità del vero, rivelandone il lato notturno. E ancora: mostrare l’insensatezza di ciò che è ordinario. Disintegrare ogni comunicazione </w:t>
      </w:r>
      <w:r w:rsidRPr="005B08C9">
        <w:rPr>
          <w:rFonts w:ascii="Garamond" w:hAnsi="Garamond"/>
          <w:i/>
          <w:iCs/>
          <w:color w:val="231F20"/>
          <w:sz w:val="22"/>
          <w:szCs w:val="22"/>
          <w:u w:color="231F20"/>
        </w:rPr>
        <w:t>familiare</w:t>
      </w:r>
      <w:r w:rsidRPr="00350C4A">
        <w:rPr>
          <w:rFonts w:ascii="Garamond" w:hAnsi="Garamond"/>
          <w:color w:val="231F20"/>
          <w:sz w:val="22"/>
          <w:szCs w:val="22"/>
          <w:u w:color="231F20"/>
        </w:rPr>
        <w:t xml:space="preserve"> attraverso il linguaggio stesso della </w:t>
      </w:r>
      <w:r w:rsidRPr="005B08C9">
        <w:rPr>
          <w:rFonts w:ascii="Garamond" w:hAnsi="Garamond"/>
          <w:i/>
          <w:iCs/>
          <w:color w:val="231F20"/>
          <w:sz w:val="22"/>
          <w:szCs w:val="22"/>
          <w:u w:color="231F20"/>
        </w:rPr>
        <w:t>familiarità</w:t>
      </w:r>
      <w:r w:rsidRPr="00350C4A">
        <w:rPr>
          <w:rFonts w:ascii="Garamond" w:hAnsi="Garamond"/>
          <w:color w:val="231F20"/>
          <w:sz w:val="22"/>
          <w:szCs w:val="22"/>
          <w:u w:color="231F20"/>
        </w:rPr>
        <w:t>.</w:t>
      </w:r>
    </w:p>
    <w:p w14:paraId="34BECF5C" w14:textId="0614BF84" w:rsidR="00350C4A" w:rsidRPr="00350C4A" w:rsidRDefault="00350C4A" w:rsidP="00B018A1">
      <w:pPr>
        <w:spacing w:after="120"/>
        <w:jc w:val="both"/>
        <w:rPr>
          <w:rFonts w:ascii="Garamond" w:hAnsi="Garamond"/>
          <w:color w:val="231F20"/>
          <w:sz w:val="22"/>
          <w:szCs w:val="22"/>
          <w:u w:color="231F20"/>
        </w:rPr>
      </w:pPr>
      <w:r w:rsidRPr="00350C4A">
        <w:rPr>
          <w:rFonts w:ascii="Garamond" w:hAnsi="Garamond"/>
          <w:color w:val="231F20"/>
          <w:sz w:val="22"/>
          <w:szCs w:val="22"/>
          <w:u w:color="231F20"/>
        </w:rPr>
        <w:t>Far convivere il massimo della chiarezza con il massimo dell’oscurità. Infine, concepire il surreale</w:t>
      </w:r>
      <w:r w:rsidR="005B08C9">
        <w:rPr>
          <w:rFonts w:ascii="Garamond" w:hAnsi="Garamond"/>
          <w:color w:val="231F20"/>
          <w:sz w:val="22"/>
          <w:szCs w:val="22"/>
          <w:u w:color="231F20"/>
        </w:rPr>
        <w:t xml:space="preserve"> </w:t>
      </w:r>
      <w:r w:rsidRPr="00350C4A">
        <w:rPr>
          <w:rFonts w:ascii="Garamond" w:hAnsi="Garamond"/>
          <w:color w:val="231F20"/>
          <w:sz w:val="22"/>
          <w:szCs w:val="22"/>
          <w:u w:color="231F20"/>
        </w:rPr>
        <w:t>come proiezione ortogonale del visibile. Ben presto tali urgenze vengono condivise da un altro “</w:t>
      </w:r>
      <w:proofErr w:type="spellStart"/>
      <w:r w:rsidRPr="00350C4A">
        <w:rPr>
          <w:rFonts w:ascii="Garamond" w:hAnsi="Garamond"/>
          <w:color w:val="231F20"/>
          <w:sz w:val="22"/>
          <w:szCs w:val="22"/>
          <w:u w:color="231F20"/>
        </w:rPr>
        <w:t>incongregabile</w:t>
      </w:r>
      <w:proofErr w:type="spellEnd"/>
      <w:r w:rsidRPr="00350C4A">
        <w:rPr>
          <w:rFonts w:ascii="Garamond" w:hAnsi="Garamond"/>
          <w:color w:val="231F20"/>
          <w:sz w:val="22"/>
          <w:szCs w:val="22"/>
          <w:u w:color="231F20"/>
        </w:rPr>
        <w:t>” come Giorgio Morandi, autore, tra il</w:t>
      </w:r>
      <w:r w:rsidR="005B08C9">
        <w:rPr>
          <w:rFonts w:ascii="Garamond" w:hAnsi="Garamond"/>
          <w:color w:val="231F20"/>
          <w:sz w:val="22"/>
          <w:szCs w:val="22"/>
          <w:u w:color="231F20"/>
        </w:rPr>
        <w:t xml:space="preserve"> 1918</w:t>
      </w:r>
      <w:r w:rsidRPr="00350C4A">
        <w:rPr>
          <w:rFonts w:ascii="Garamond" w:hAnsi="Garamond"/>
          <w:color w:val="231F20"/>
          <w:sz w:val="22"/>
          <w:szCs w:val="22"/>
          <w:u w:color="231F20"/>
        </w:rPr>
        <w:t xml:space="preserve"> e il</w:t>
      </w:r>
      <w:r w:rsidR="005B08C9">
        <w:rPr>
          <w:rFonts w:ascii="Garamond" w:hAnsi="Garamond"/>
          <w:color w:val="231F20"/>
          <w:sz w:val="22"/>
          <w:szCs w:val="22"/>
          <w:u w:color="231F20"/>
        </w:rPr>
        <w:t xml:space="preserve"> 1919</w:t>
      </w:r>
      <w:r w:rsidRPr="00350C4A">
        <w:rPr>
          <w:rFonts w:ascii="Garamond" w:hAnsi="Garamond"/>
          <w:color w:val="231F20"/>
          <w:sz w:val="22"/>
          <w:szCs w:val="22"/>
          <w:u w:color="231F20"/>
        </w:rPr>
        <w:t>, di nature morte abitate da episodi tipici dell</w:t>
      </w:r>
      <w:r w:rsidRPr="00350C4A">
        <w:rPr>
          <w:rFonts w:ascii="Garamond" w:hAnsi="Garamond" w:cs="Garamond"/>
          <w:color w:val="231F20"/>
          <w:sz w:val="22"/>
          <w:szCs w:val="22"/>
          <w:u w:color="231F20"/>
        </w:rPr>
        <w:t>’</w:t>
      </w:r>
      <w:r w:rsidRPr="00350C4A">
        <w:rPr>
          <w:rFonts w:ascii="Garamond" w:hAnsi="Garamond"/>
          <w:color w:val="231F20"/>
          <w:sz w:val="22"/>
          <w:szCs w:val="22"/>
          <w:u w:color="231F20"/>
        </w:rPr>
        <w:t>immaginario metafisico.</w:t>
      </w:r>
    </w:p>
    <w:p w14:paraId="1725D943" w14:textId="77777777" w:rsidR="00350C4A" w:rsidRPr="00350C4A" w:rsidRDefault="00350C4A" w:rsidP="00B018A1">
      <w:pPr>
        <w:spacing w:after="120"/>
        <w:jc w:val="both"/>
        <w:rPr>
          <w:rFonts w:ascii="Garamond" w:hAnsi="Garamond"/>
          <w:color w:val="231F20"/>
          <w:sz w:val="22"/>
          <w:szCs w:val="22"/>
          <w:u w:color="231F20"/>
        </w:rPr>
      </w:pPr>
      <w:r w:rsidRPr="00350C4A">
        <w:rPr>
          <w:rFonts w:ascii="Garamond" w:hAnsi="Garamond"/>
          <w:color w:val="231F20"/>
          <w:sz w:val="22"/>
          <w:szCs w:val="22"/>
          <w:u w:color="231F20"/>
        </w:rPr>
        <w:t>Scandita in capitoli, questa mostra ripercorre una vicenda unica. E, insieme, documenta un colpo di scena. Per una cabala impossibile da prevedere, i pittori metafisici sono diventati padri involontari di larghe regioni delle arti del XX e del XXI secolo. Le loro iconografie sono state riprese secondo sensibilità diverse, fino ad acquistare significati ulteriori. Un’imprevista disseminazione, che ha spinto Alberto Arbasino a scrivere: “Metafisica è una delle pochissime conquiste intellettuali e dimensioni dello spirito promulgate negli ultimi due o tre secoli nel Bel Paese, e malgrado il Bel Paese offerte al patrimonio di tutti”.</w:t>
      </w:r>
    </w:p>
    <w:p w14:paraId="220C94D7" w14:textId="77777777" w:rsidR="00350C4A" w:rsidRPr="00350C4A" w:rsidRDefault="00350C4A" w:rsidP="00B018A1">
      <w:pPr>
        <w:spacing w:after="120"/>
        <w:jc w:val="both"/>
        <w:rPr>
          <w:rFonts w:ascii="Garamond" w:hAnsi="Garamond"/>
          <w:color w:val="231F20"/>
          <w:sz w:val="22"/>
          <w:szCs w:val="22"/>
          <w:u w:color="231F20"/>
        </w:rPr>
      </w:pPr>
      <w:r w:rsidRPr="00350C4A">
        <w:rPr>
          <w:rFonts w:ascii="Garamond" w:hAnsi="Garamond"/>
          <w:color w:val="231F20"/>
          <w:sz w:val="22"/>
          <w:szCs w:val="22"/>
          <w:u w:color="231F20"/>
        </w:rPr>
        <w:t xml:space="preserve">Piazze e statue, archi e portici, torri e ombre, nature morte e manichini sono transitati attraverso significativi passaggi dell’arte, dell’architettura, della fotografia, del design, della moda, del cinema, del teatro, del </w:t>
      </w:r>
      <w:r w:rsidRPr="005B08C9">
        <w:rPr>
          <w:rFonts w:ascii="Garamond" w:hAnsi="Garamond"/>
          <w:i/>
          <w:iCs/>
          <w:color w:val="231F20"/>
          <w:sz w:val="22"/>
          <w:szCs w:val="22"/>
          <w:u w:color="231F20"/>
        </w:rPr>
        <w:t xml:space="preserve">graphic </w:t>
      </w:r>
      <w:proofErr w:type="spellStart"/>
      <w:r w:rsidRPr="005B08C9">
        <w:rPr>
          <w:rFonts w:ascii="Garamond" w:hAnsi="Garamond"/>
          <w:i/>
          <w:iCs/>
          <w:color w:val="231F20"/>
          <w:sz w:val="22"/>
          <w:szCs w:val="22"/>
          <w:u w:color="231F20"/>
        </w:rPr>
        <w:t>novel</w:t>
      </w:r>
      <w:proofErr w:type="spellEnd"/>
      <w:r w:rsidRPr="00350C4A">
        <w:rPr>
          <w:rFonts w:ascii="Garamond" w:hAnsi="Garamond"/>
          <w:color w:val="231F20"/>
          <w:sz w:val="22"/>
          <w:szCs w:val="22"/>
          <w:u w:color="231F20"/>
        </w:rPr>
        <w:t xml:space="preserve">, della musica, della letteratura. In maniera più o meno fedele, quelle tracce sono state </w:t>
      </w:r>
      <w:r w:rsidRPr="00350C4A">
        <w:rPr>
          <w:rFonts w:ascii="Garamond" w:hAnsi="Garamond"/>
          <w:color w:val="231F20"/>
          <w:sz w:val="22"/>
          <w:szCs w:val="22"/>
          <w:u w:color="231F20"/>
        </w:rPr>
        <w:lastRenderedPageBreak/>
        <w:t>reinventate da “artefici” inclini a richiamarsi a una maniera di vedere inconfondibile, fondata su melanconie, su atmosfere sospese, su sofisticati giochi percettivi, su ombre senza origine. È un alfabeto oramai entrato a far parte del nostro lessico familiare.</w:t>
      </w:r>
    </w:p>
    <w:p w14:paraId="4E21920E" w14:textId="77777777" w:rsidR="00350C4A" w:rsidRDefault="00350C4A" w:rsidP="00B018A1">
      <w:pPr>
        <w:spacing w:after="120"/>
        <w:jc w:val="both"/>
        <w:rPr>
          <w:rFonts w:ascii="Garamond" w:hAnsi="Garamond"/>
          <w:color w:val="231F20"/>
          <w:sz w:val="22"/>
          <w:szCs w:val="22"/>
          <w:u w:color="231F20"/>
        </w:rPr>
      </w:pPr>
      <w:r w:rsidRPr="00350C4A">
        <w:rPr>
          <w:rFonts w:ascii="Garamond" w:hAnsi="Garamond"/>
          <w:color w:val="231F20"/>
          <w:sz w:val="22"/>
          <w:szCs w:val="22"/>
          <w:u w:color="231F20"/>
        </w:rPr>
        <w:t>Si è disegnata così una storia eterodossa, che conduce tra culture e pratiche, tra prelievi e appropriazioni indebite. Come sequenze di un film impossibile, cui abbiamo dato un titolo: “Metafisica/Metafisiche”.</w:t>
      </w:r>
    </w:p>
    <w:p w14:paraId="4BDAC85B" w14:textId="78ED00F8" w:rsidR="00CF5730" w:rsidRPr="00CF5730" w:rsidRDefault="00FF16DF" w:rsidP="00350C4A">
      <w:pPr>
        <w:spacing w:after="0"/>
        <w:jc w:val="both"/>
        <w:rPr>
          <w:rFonts w:ascii="Garamond" w:hAnsi="Garamond"/>
          <w:b/>
          <w:bCs/>
          <w:color w:val="231F20"/>
          <w:sz w:val="22"/>
          <w:szCs w:val="22"/>
          <w:u w:color="231F20"/>
        </w:rPr>
      </w:pPr>
      <w:r>
        <w:rPr>
          <w:rFonts w:ascii="Garamond" w:hAnsi="Garamond"/>
          <w:color w:val="231F20"/>
          <w:sz w:val="22"/>
          <w:szCs w:val="22"/>
          <w:u w:color="231F20"/>
        </w:rPr>
        <w:t xml:space="preserve">Milano, </w:t>
      </w:r>
      <w:r w:rsidR="009502AF">
        <w:rPr>
          <w:rFonts w:ascii="Garamond" w:hAnsi="Garamond"/>
          <w:color w:val="231F20"/>
          <w:sz w:val="22"/>
          <w:szCs w:val="22"/>
          <w:u w:color="231F20"/>
        </w:rPr>
        <w:t>4 febbraio</w:t>
      </w:r>
      <w:r>
        <w:rPr>
          <w:rFonts w:ascii="Garamond" w:hAnsi="Garamond"/>
          <w:color w:val="231F20"/>
          <w:sz w:val="22"/>
          <w:szCs w:val="22"/>
          <w:u w:color="231F20"/>
        </w:rPr>
        <w:t xml:space="preserve"> 202</w:t>
      </w:r>
      <w:r w:rsidR="003947CA">
        <w:rPr>
          <w:rFonts w:ascii="Garamond" w:hAnsi="Garamond"/>
          <w:color w:val="231F20"/>
          <w:sz w:val="22"/>
          <w:szCs w:val="22"/>
          <w:u w:color="231F20"/>
        </w:rPr>
        <w:t>6</w:t>
      </w:r>
    </w:p>
    <w:sectPr w:rsidR="00CF5730" w:rsidRPr="00CF5730">
      <w:headerReference w:type="default" r:id="rId9"/>
      <w:headerReference w:type="first" r:id="rId10"/>
      <w:footerReference w:type="first" r:id="rId11"/>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39606" w14:textId="77777777" w:rsidR="00810DD1" w:rsidRDefault="00810DD1">
      <w:pPr>
        <w:spacing w:after="0" w:line="240" w:lineRule="auto"/>
      </w:pPr>
      <w:r>
        <w:separator/>
      </w:r>
    </w:p>
  </w:endnote>
  <w:endnote w:type="continuationSeparator" w:id="0">
    <w:p w14:paraId="39831B84" w14:textId="77777777" w:rsidR="00810DD1" w:rsidRDefault="00810DD1">
      <w:pPr>
        <w:spacing w:after="0" w:line="240" w:lineRule="auto"/>
      </w:pPr>
      <w:r>
        <w:continuationSeparator/>
      </w:r>
    </w:p>
  </w:endnote>
  <w:endnote w:type="continuationNotice" w:id="1">
    <w:p w14:paraId="64975B41" w14:textId="77777777" w:rsidR="00810DD1" w:rsidRDefault="00810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5AE50" w14:textId="77777777" w:rsidR="00810DD1" w:rsidRDefault="00810DD1">
      <w:pPr>
        <w:spacing w:after="0" w:line="240" w:lineRule="auto"/>
      </w:pPr>
      <w:r>
        <w:separator/>
      </w:r>
    </w:p>
  </w:footnote>
  <w:footnote w:type="continuationSeparator" w:id="0">
    <w:p w14:paraId="5FBA344F" w14:textId="77777777" w:rsidR="00810DD1" w:rsidRDefault="00810DD1">
      <w:pPr>
        <w:spacing w:after="0" w:line="240" w:lineRule="auto"/>
      </w:pPr>
      <w:r>
        <w:continuationSeparator/>
      </w:r>
    </w:p>
  </w:footnote>
  <w:footnote w:type="continuationNotice" w:id="1">
    <w:p w14:paraId="0E90589D" w14:textId="77777777" w:rsidR="00810DD1" w:rsidRDefault="00810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42F2"/>
    <w:rsid w:val="00056E2B"/>
    <w:rsid w:val="000B5552"/>
    <w:rsid w:val="000B6EDA"/>
    <w:rsid w:val="000D195A"/>
    <w:rsid w:val="000D5642"/>
    <w:rsid w:val="00102395"/>
    <w:rsid w:val="00126749"/>
    <w:rsid w:val="001302B7"/>
    <w:rsid w:val="00131143"/>
    <w:rsid w:val="00147B40"/>
    <w:rsid w:val="001626D3"/>
    <w:rsid w:val="001836CE"/>
    <w:rsid w:val="001859AD"/>
    <w:rsid w:val="00196884"/>
    <w:rsid w:val="00197AF7"/>
    <w:rsid w:val="001B4084"/>
    <w:rsid w:val="001C6F01"/>
    <w:rsid w:val="001E1719"/>
    <w:rsid w:val="001F15E3"/>
    <w:rsid w:val="001F70CD"/>
    <w:rsid w:val="00217728"/>
    <w:rsid w:val="00221D28"/>
    <w:rsid w:val="00235BD7"/>
    <w:rsid w:val="00277C94"/>
    <w:rsid w:val="00281D35"/>
    <w:rsid w:val="0028630E"/>
    <w:rsid w:val="002868B8"/>
    <w:rsid w:val="002A0D77"/>
    <w:rsid w:val="002A5011"/>
    <w:rsid w:val="002A70B0"/>
    <w:rsid w:val="002D085C"/>
    <w:rsid w:val="002D764B"/>
    <w:rsid w:val="0030544B"/>
    <w:rsid w:val="00316985"/>
    <w:rsid w:val="0031737E"/>
    <w:rsid w:val="00322B1B"/>
    <w:rsid w:val="003268E1"/>
    <w:rsid w:val="00350C4A"/>
    <w:rsid w:val="00381FCD"/>
    <w:rsid w:val="003947CA"/>
    <w:rsid w:val="003A5DF9"/>
    <w:rsid w:val="003C1003"/>
    <w:rsid w:val="003E4748"/>
    <w:rsid w:val="00431C95"/>
    <w:rsid w:val="004450D2"/>
    <w:rsid w:val="00450CCE"/>
    <w:rsid w:val="0045452A"/>
    <w:rsid w:val="00454701"/>
    <w:rsid w:val="004556D0"/>
    <w:rsid w:val="00473339"/>
    <w:rsid w:val="00493B21"/>
    <w:rsid w:val="00494B08"/>
    <w:rsid w:val="00494DE7"/>
    <w:rsid w:val="004957DC"/>
    <w:rsid w:val="004E2103"/>
    <w:rsid w:val="00505D82"/>
    <w:rsid w:val="00506A8B"/>
    <w:rsid w:val="00512FCC"/>
    <w:rsid w:val="00513185"/>
    <w:rsid w:val="00514CCC"/>
    <w:rsid w:val="005176DD"/>
    <w:rsid w:val="0052389B"/>
    <w:rsid w:val="00531596"/>
    <w:rsid w:val="005565F6"/>
    <w:rsid w:val="00567893"/>
    <w:rsid w:val="005A1E34"/>
    <w:rsid w:val="005A26D0"/>
    <w:rsid w:val="005B08C9"/>
    <w:rsid w:val="005E67BD"/>
    <w:rsid w:val="005F6DEE"/>
    <w:rsid w:val="00606BD6"/>
    <w:rsid w:val="0062566F"/>
    <w:rsid w:val="00625B34"/>
    <w:rsid w:val="0067354A"/>
    <w:rsid w:val="006802B6"/>
    <w:rsid w:val="0069719F"/>
    <w:rsid w:val="006B2E28"/>
    <w:rsid w:val="006F1ECC"/>
    <w:rsid w:val="006F2EE2"/>
    <w:rsid w:val="006F6778"/>
    <w:rsid w:val="00712C50"/>
    <w:rsid w:val="00755036"/>
    <w:rsid w:val="00775776"/>
    <w:rsid w:val="007B27A0"/>
    <w:rsid w:val="007B6069"/>
    <w:rsid w:val="007B7321"/>
    <w:rsid w:val="007D684C"/>
    <w:rsid w:val="00804FE9"/>
    <w:rsid w:val="00810DD1"/>
    <w:rsid w:val="00814836"/>
    <w:rsid w:val="0084266B"/>
    <w:rsid w:val="00843937"/>
    <w:rsid w:val="00854D67"/>
    <w:rsid w:val="00864CDE"/>
    <w:rsid w:val="00876189"/>
    <w:rsid w:val="0088197F"/>
    <w:rsid w:val="008A14E9"/>
    <w:rsid w:val="008A72AC"/>
    <w:rsid w:val="008A7871"/>
    <w:rsid w:val="008B3B57"/>
    <w:rsid w:val="008E1992"/>
    <w:rsid w:val="008E4DC5"/>
    <w:rsid w:val="0093406D"/>
    <w:rsid w:val="009502AF"/>
    <w:rsid w:val="00977E24"/>
    <w:rsid w:val="0098538F"/>
    <w:rsid w:val="009A42B0"/>
    <w:rsid w:val="009A658D"/>
    <w:rsid w:val="009C2896"/>
    <w:rsid w:val="009E47CD"/>
    <w:rsid w:val="009E75CD"/>
    <w:rsid w:val="009F3B9B"/>
    <w:rsid w:val="00A2152D"/>
    <w:rsid w:val="00A37476"/>
    <w:rsid w:val="00A37789"/>
    <w:rsid w:val="00A6076D"/>
    <w:rsid w:val="00A60AA0"/>
    <w:rsid w:val="00A6308E"/>
    <w:rsid w:val="00A64F8F"/>
    <w:rsid w:val="00A70D5B"/>
    <w:rsid w:val="00A7341D"/>
    <w:rsid w:val="00AC0F7C"/>
    <w:rsid w:val="00B018A1"/>
    <w:rsid w:val="00B2111F"/>
    <w:rsid w:val="00B26BB5"/>
    <w:rsid w:val="00B273D8"/>
    <w:rsid w:val="00B453B1"/>
    <w:rsid w:val="00BA5CB2"/>
    <w:rsid w:val="00BA7A72"/>
    <w:rsid w:val="00BB284B"/>
    <w:rsid w:val="00BF0622"/>
    <w:rsid w:val="00C05107"/>
    <w:rsid w:val="00C124C2"/>
    <w:rsid w:val="00C25599"/>
    <w:rsid w:val="00C6052E"/>
    <w:rsid w:val="00C9141C"/>
    <w:rsid w:val="00CA328D"/>
    <w:rsid w:val="00CA3439"/>
    <w:rsid w:val="00CB3AFC"/>
    <w:rsid w:val="00CF5730"/>
    <w:rsid w:val="00D13E95"/>
    <w:rsid w:val="00D4206B"/>
    <w:rsid w:val="00D513AC"/>
    <w:rsid w:val="00D60B5C"/>
    <w:rsid w:val="00D94B1B"/>
    <w:rsid w:val="00DA3006"/>
    <w:rsid w:val="00DC6677"/>
    <w:rsid w:val="00E1028E"/>
    <w:rsid w:val="00E170FA"/>
    <w:rsid w:val="00E500C9"/>
    <w:rsid w:val="00E554D8"/>
    <w:rsid w:val="00E574DB"/>
    <w:rsid w:val="00EA503F"/>
    <w:rsid w:val="00EB47BF"/>
    <w:rsid w:val="00EC243A"/>
    <w:rsid w:val="00F0104D"/>
    <w:rsid w:val="00F10166"/>
    <w:rsid w:val="00F14E53"/>
    <w:rsid w:val="00F8485E"/>
    <w:rsid w:val="00F9060C"/>
    <w:rsid w:val="00FC37CF"/>
    <w:rsid w:val="00FE5B6A"/>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a168cc9d4885a53b9407c9acfad6a08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5062027e0189409ff0969cf40af59b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D3D322-9AF1-43C7-8687-30EA6E112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508</Words>
  <Characters>2901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6</cp:revision>
  <cp:lastPrinted>2025-10-17T09:13:00Z</cp:lastPrinted>
  <dcterms:created xsi:type="dcterms:W3CDTF">2026-01-28T09:36:00Z</dcterms:created>
  <dcterms:modified xsi:type="dcterms:W3CDTF">2026-01-28T09:40:00Z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