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6F106" w14:textId="53CCA059" w:rsidR="000D195A" w:rsidRPr="00FE0F7F" w:rsidRDefault="00F8485E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30</w:t>
      </w:r>
      <w:r w:rsidR="007B27A0">
        <w:rPr>
          <w:rFonts w:ascii="Garamond" w:hAnsi="Garamond"/>
          <w:b/>
          <w:bCs/>
        </w:rPr>
        <w:t xml:space="preserve"> </w:t>
      </w:r>
      <w:r w:rsidR="004556D0">
        <w:rPr>
          <w:rFonts w:ascii="Garamond" w:hAnsi="Garamond"/>
          <w:b/>
          <w:bCs/>
        </w:rPr>
        <w:t xml:space="preserve">OTTOBRE </w:t>
      </w:r>
      <w:r w:rsidR="007B27A0">
        <w:rPr>
          <w:rFonts w:ascii="Garamond" w:hAnsi="Garamond"/>
          <w:b/>
          <w:bCs/>
        </w:rPr>
        <w:t>2025 – 18 GENNAIO 2026</w:t>
      </w:r>
    </w:p>
    <w:p w14:paraId="70907A1A" w14:textId="77777777" w:rsidR="00431C95" w:rsidRPr="009C2896" w:rsidRDefault="000D195A" w:rsidP="00431C95">
      <w:pPr>
        <w:spacing w:line="271" w:lineRule="auto"/>
        <w:ind w:right="843"/>
        <w:rPr>
          <w:rFonts w:ascii="Garamond" w:hAnsi="Garamond"/>
          <w:b/>
          <w:bCs/>
          <w:color w:val="231F20"/>
          <w:spacing w:val="-4"/>
          <w:u w:color="231F20"/>
        </w:rPr>
      </w:pPr>
      <w:r w:rsidRPr="00FE0F7F">
        <w:rPr>
          <w:rFonts w:ascii="Garamond" w:hAnsi="Garamond"/>
          <w:b/>
          <w:bCs/>
        </w:rPr>
        <w:t xml:space="preserve">MILANO |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="00431C95"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|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SALA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STIRLING</w:t>
      </w:r>
    </w:p>
    <w:p w14:paraId="55C52A19" w14:textId="71A9207E" w:rsidR="000D195A" w:rsidRDefault="000D195A" w:rsidP="000D195A">
      <w:pPr>
        <w:spacing w:after="0"/>
        <w:rPr>
          <w:rFonts w:ascii="Garamond" w:hAnsi="Garamond"/>
        </w:rPr>
      </w:pPr>
    </w:p>
    <w:p w14:paraId="424BB8E3" w14:textId="662A3CB7" w:rsidR="000D195A" w:rsidRDefault="00431C95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FRANGI</w:t>
      </w:r>
    </w:p>
    <w:p w14:paraId="1ED28B99" w14:textId="5531AF70" w:rsidR="00431C95" w:rsidRPr="00431C95" w:rsidRDefault="00431C95" w:rsidP="000D195A">
      <w:pPr>
        <w:spacing w:after="0"/>
        <w:rPr>
          <w:rFonts w:ascii="Garamond" w:hAnsi="Garamond"/>
          <w:b/>
          <w:bCs/>
          <w:i/>
          <w:iCs/>
        </w:rPr>
      </w:pPr>
      <w:r w:rsidRPr="00431C95">
        <w:rPr>
          <w:rFonts w:ascii="Garamond" w:hAnsi="Garamond"/>
          <w:b/>
          <w:bCs/>
          <w:i/>
          <w:iCs/>
        </w:rPr>
        <w:t>NOBU AT ELBA</w:t>
      </w:r>
    </w:p>
    <w:p w14:paraId="01DAE30B" w14:textId="232DA1D6" w:rsidR="00431C95" w:rsidRPr="00431C95" w:rsidRDefault="00431C95" w:rsidP="000D195A">
      <w:pPr>
        <w:spacing w:after="0"/>
        <w:rPr>
          <w:rFonts w:ascii="Garamond" w:hAnsi="Garamond"/>
          <w:b/>
          <w:bCs/>
          <w:i/>
          <w:iCs/>
        </w:rPr>
      </w:pPr>
      <w:r w:rsidRPr="00431C95">
        <w:rPr>
          <w:rFonts w:ascii="Garamond" w:hAnsi="Garamond"/>
          <w:b/>
          <w:bCs/>
          <w:i/>
          <w:iCs/>
        </w:rPr>
        <w:t>REDUX</w:t>
      </w:r>
    </w:p>
    <w:p w14:paraId="6877F61E" w14:textId="77777777" w:rsidR="00126749" w:rsidRDefault="00126749" w:rsidP="000D195A">
      <w:pPr>
        <w:spacing w:after="0"/>
        <w:rPr>
          <w:rFonts w:ascii="Garamond" w:hAnsi="Garamond"/>
          <w:b/>
          <w:bCs/>
        </w:rPr>
      </w:pPr>
    </w:p>
    <w:p w14:paraId="1FCEDA86" w14:textId="7EFEC5FA" w:rsidR="007B27A0" w:rsidRDefault="007B27A0" w:rsidP="0052389B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Per la prima volta a Milano, </w:t>
      </w:r>
      <w:r w:rsidR="00381FCD">
        <w:rPr>
          <w:rFonts w:ascii="Garamond" w:hAnsi="Garamond"/>
          <w:b/>
          <w:bCs/>
        </w:rPr>
        <w:t xml:space="preserve">esposta </w:t>
      </w:r>
      <w:r>
        <w:rPr>
          <w:rFonts w:ascii="Garamond" w:hAnsi="Garamond"/>
          <w:b/>
          <w:bCs/>
        </w:rPr>
        <w:t xml:space="preserve">la monumentale installazione di Giovanni Frangi, composta da sculture e dipinti su tela, che </w:t>
      </w:r>
      <w:r w:rsidR="00196884">
        <w:rPr>
          <w:rFonts w:ascii="Garamond" w:hAnsi="Garamond"/>
          <w:b/>
          <w:bCs/>
        </w:rPr>
        <w:t xml:space="preserve">danno al </w:t>
      </w:r>
      <w:r>
        <w:rPr>
          <w:rFonts w:ascii="Garamond" w:hAnsi="Garamond"/>
          <w:b/>
          <w:bCs/>
        </w:rPr>
        <w:t xml:space="preserve">visitatore </w:t>
      </w:r>
      <w:r w:rsidR="00196884" w:rsidRPr="00196884">
        <w:rPr>
          <w:rFonts w:ascii="Garamond" w:hAnsi="Garamond"/>
          <w:b/>
          <w:bCs/>
        </w:rPr>
        <w:t xml:space="preserve">l’impressione di </w:t>
      </w:r>
      <w:r w:rsidR="00196884">
        <w:rPr>
          <w:rFonts w:ascii="Garamond" w:hAnsi="Garamond"/>
          <w:b/>
          <w:bCs/>
        </w:rPr>
        <w:t>trovarsi avvolto in</w:t>
      </w:r>
      <w:r w:rsidR="00196884" w:rsidRPr="00196884">
        <w:rPr>
          <w:rFonts w:ascii="Garamond" w:hAnsi="Garamond"/>
          <w:b/>
          <w:bCs/>
        </w:rPr>
        <w:t xml:space="preserve"> un panorama silvano</w:t>
      </w:r>
      <w:r w:rsidR="00196884">
        <w:rPr>
          <w:rFonts w:ascii="Garamond" w:hAnsi="Garamond"/>
          <w:b/>
          <w:bCs/>
        </w:rPr>
        <w:t>.</w:t>
      </w:r>
    </w:p>
    <w:p w14:paraId="54B00828" w14:textId="77777777" w:rsidR="009F3B9B" w:rsidRDefault="009F3B9B" w:rsidP="0052389B">
      <w:pPr>
        <w:spacing w:after="0"/>
        <w:jc w:val="both"/>
        <w:rPr>
          <w:rFonts w:ascii="Garamond" w:hAnsi="Garamond"/>
          <w:b/>
          <w:bCs/>
        </w:rPr>
      </w:pPr>
    </w:p>
    <w:p w14:paraId="67A150B9" w14:textId="3A554D84" w:rsidR="009F3B9B" w:rsidRDefault="009F3B9B" w:rsidP="0052389B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vent’anni dalla sua prima apparizione, all</w:t>
      </w:r>
      <w:r w:rsidR="00606BD6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 </w:t>
      </w:r>
      <w:r w:rsidR="00196884">
        <w:rPr>
          <w:rFonts w:ascii="Garamond" w:hAnsi="Garamond"/>
          <w:b/>
          <w:bCs/>
        </w:rPr>
        <w:t xml:space="preserve">Scuderia Grande </w:t>
      </w:r>
      <w:r>
        <w:rPr>
          <w:rFonts w:ascii="Garamond" w:hAnsi="Garamond"/>
          <w:b/>
          <w:bCs/>
        </w:rPr>
        <w:t>di Villa Panza a Varese, l’opera dell’artista milanese si propone in un nuovo allestimento, appositamente studiato per dialogare con gli spazi della Sala Stirling.</w:t>
      </w:r>
    </w:p>
    <w:p w14:paraId="1FDC531E" w14:textId="77777777" w:rsidR="009F3B9B" w:rsidRDefault="009F3B9B" w:rsidP="000D195A">
      <w:pPr>
        <w:spacing w:after="0"/>
        <w:rPr>
          <w:rFonts w:ascii="Garamond" w:hAnsi="Garamond"/>
          <w:b/>
          <w:bCs/>
        </w:rPr>
      </w:pPr>
    </w:p>
    <w:p w14:paraId="19779920" w14:textId="0737714C" w:rsidR="009F3B9B" w:rsidRDefault="009F3B9B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cura di Giovanni Agosti</w:t>
      </w:r>
    </w:p>
    <w:p w14:paraId="3A50C871" w14:textId="77777777" w:rsidR="00381FCD" w:rsidRDefault="00381FCD" w:rsidP="000D195A">
      <w:pPr>
        <w:spacing w:after="0"/>
        <w:rPr>
          <w:rFonts w:ascii="Garamond" w:hAnsi="Garamond"/>
          <w:b/>
          <w:bCs/>
        </w:rPr>
      </w:pPr>
    </w:p>
    <w:p w14:paraId="6EAACC1A" w14:textId="5B06B982" w:rsidR="009F3B9B" w:rsidRDefault="009F3B9B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Allestimento </w:t>
      </w:r>
      <w:r w:rsidR="00381FCD">
        <w:rPr>
          <w:rFonts w:ascii="Garamond" w:hAnsi="Garamond"/>
          <w:b/>
          <w:bCs/>
        </w:rPr>
        <w:t xml:space="preserve">a cura </w:t>
      </w:r>
      <w:r>
        <w:rPr>
          <w:rFonts w:ascii="Garamond" w:hAnsi="Garamond"/>
          <w:b/>
          <w:bCs/>
        </w:rPr>
        <w:t>di Francesco Librizzi</w:t>
      </w:r>
    </w:p>
    <w:p w14:paraId="2B42D3FB" w14:textId="77777777" w:rsidR="007B27A0" w:rsidRDefault="007B27A0" w:rsidP="000D195A">
      <w:pPr>
        <w:spacing w:after="0"/>
        <w:rPr>
          <w:rFonts w:ascii="Garamond" w:hAnsi="Garamond"/>
          <w:b/>
          <w:bCs/>
        </w:rPr>
      </w:pPr>
    </w:p>
    <w:p w14:paraId="6681ABE7" w14:textId="77777777" w:rsidR="000D195A" w:rsidRPr="00607FCB" w:rsidRDefault="000D195A" w:rsidP="000D195A">
      <w:pPr>
        <w:spacing w:after="0"/>
        <w:rPr>
          <w:rFonts w:ascii="Garamond" w:hAnsi="Garamond"/>
        </w:rPr>
      </w:pPr>
    </w:p>
    <w:p w14:paraId="17ACB807" w14:textId="77777777" w:rsidR="000D195A" w:rsidRDefault="000D195A" w:rsidP="000D195A">
      <w:pPr>
        <w:spacing w:after="0"/>
        <w:rPr>
          <w:rFonts w:ascii="Garamond" w:hAnsi="Garamond"/>
        </w:rPr>
      </w:pPr>
    </w:p>
    <w:p w14:paraId="3F5FB54F" w14:textId="5A9F5DE7" w:rsidR="0067354A" w:rsidRDefault="0067354A" w:rsidP="0067354A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>Dal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 30 ottobre 2025 al 1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8 </w:t>
      </w:r>
      <w:r>
        <w:rPr>
          <w:rFonts w:ascii="Garamond" w:hAnsi="Garamond"/>
          <w:b/>
          <w:bCs/>
          <w:kern w:val="0"/>
          <w:sz w:val="22"/>
          <w:szCs w:val="22"/>
        </w:rPr>
        <w:t>gennaio 2026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, 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la Sala Stirling in 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>Palazzo Citterio a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ccoglie </w:t>
      </w:r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Nobu </w:t>
      </w:r>
      <w:proofErr w:type="spellStart"/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>at</w:t>
      </w:r>
      <w:proofErr w:type="spellEnd"/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, una monumentale installazione creata da </w:t>
      </w:r>
      <w:r w:rsidRPr="00514CCC">
        <w:rPr>
          <w:rFonts w:ascii="Garamond" w:hAnsi="Garamond"/>
          <w:b/>
          <w:bCs/>
          <w:kern w:val="0"/>
          <w:sz w:val="22"/>
          <w:szCs w:val="22"/>
        </w:rPr>
        <w:t>Giovanni Frangi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55BB77D5" w14:textId="56884BC2" w:rsidR="0067354A" w:rsidRDefault="0067354A" w:rsidP="0067354A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L’iniziativa consente al pubblico di apprezzare nuovamente l’opera – ecco quindi la ragione di quel </w:t>
      </w:r>
      <w:proofErr w:type="spellStart"/>
      <w:r w:rsidRPr="00175F24">
        <w:rPr>
          <w:rFonts w:ascii="Garamond" w:hAnsi="Garamond"/>
          <w:b/>
          <w:bCs/>
          <w:i/>
          <w:iCs/>
          <w:kern w:val="0"/>
          <w:sz w:val="22"/>
          <w:szCs w:val="22"/>
        </w:rPr>
        <w:t>Redux</w:t>
      </w:r>
      <w:proofErr w:type="spellEnd"/>
      <w:r>
        <w:rPr>
          <w:rFonts w:ascii="Garamond" w:hAnsi="Garamond"/>
          <w:kern w:val="0"/>
          <w:sz w:val="22"/>
          <w:szCs w:val="22"/>
        </w:rPr>
        <w:t xml:space="preserve"> nel titolo della mostra –, a vent’anni di distanza dalla sua prima esposizione, nella </w:t>
      </w:r>
      <w:r w:rsidR="00196884">
        <w:rPr>
          <w:rFonts w:ascii="Garamond" w:hAnsi="Garamond"/>
          <w:kern w:val="0"/>
          <w:sz w:val="22"/>
          <w:szCs w:val="22"/>
        </w:rPr>
        <w:t xml:space="preserve">Scuderia Grande </w:t>
      </w:r>
      <w:r>
        <w:rPr>
          <w:rFonts w:ascii="Garamond" w:hAnsi="Garamond"/>
          <w:kern w:val="0"/>
          <w:sz w:val="22"/>
          <w:szCs w:val="22"/>
        </w:rPr>
        <w:t xml:space="preserve">di Villa Panza a Varese, luogo per la quale era stata concepita. Oggi, come allora, </w:t>
      </w:r>
      <w:r w:rsidR="00196884" w:rsidRPr="00392FB8">
        <w:rPr>
          <w:rFonts w:ascii="Garamond" w:hAnsi="Garamond"/>
          <w:b/>
          <w:bCs/>
          <w:kern w:val="0"/>
          <w:sz w:val="22"/>
          <w:szCs w:val="22"/>
        </w:rPr>
        <w:t>Giovanni Agosti</w:t>
      </w:r>
      <w:r w:rsidR="00196884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è a fianco di </w:t>
      </w:r>
      <w:r w:rsidR="00196884">
        <w:rPr>
          <w:rFonts w:ascii="Garamond" w:hAnsi="Garamond"/>
          <w:kern w:val="0"/>
          <w:sz w:val="22"/>
          <w:szCs w:val="22"/>
        </w:rPr>
        <w:t xml:space="preserve">Giovanni </w:t>
      </w:r>
      <w:r>
        <w:rPr>
          <w:rFonts w:ascii="Garamond" w:hAnsi="Garamond"/>
          <w:kern w:val="0"/>
          <w:sz w:val="22"/>
          <w:szCs w:val="22"/>
        </w:rPr>
        <w:t>Frangi.</w:t>
      </w:r>
    </w:p>
    <w:p w14:paraId="2ED259CC" w14:textId="77777777" w:rsidR="00A37476" w:rsidRDefault="00A37476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54EB5CAD" w14:textId="24CB99DF" w:rsidR="002A0D77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bookmarkStart w:id="0" w:name="_Hlk208215153"/>
      <w:r w:rsidRPr="00514CCC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514CCC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514CCC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 w:rsidR="00B273D8">
        <w:rPr>
          <w:rFonts w:ascii="Garamond" w:hAnsi="Garamond"/>
          <w:i/>
          <w:iCs/>
          <w:kern w:val="0"/>
          <w:sz w:val="22"/>
          <w:szCs w:val="22"/>
        </w:rPr>
        <w:t xml:space="preserve"> </w:t>
      </w:r>
      <w:proofErr w:type="spellStart"/>
      <w:r w:rsidR="00B273D8">
        <w:rPr>
          <w:rFonts w:ascii="Garamond" w:hAnsi="Garamond"/>
          <w:i/>
          <w:iCs/>
          <w:kern w:val="0"/>
          <w:sz w:val="22"/>
          <w:szCs w:val="22"/>
        </w:rPr>
        <w:t>Redux</w:t>
      </w:r>
      <w:proofErr w:type="spellEnd"/>
      <w:r w:rsidR="00B273D8"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è costituito da </w:t>
      </w:r>
      <w:r w:rsidRPr="00514CCC">
        <w:rPr>
          <w:rFonts w:ascii="Garamond" w:hAnsi="Garamond"/>
          <w:kern w:val="0"/>
          <w:sz w:val="22"/>
          <w:szCs w:val="22"/>
        </w:rPr>
        <w:t xml:space="preserve">quattro </w:t>
      </w:r>
      <w:r w:rsidR="00196884">
        <w:rPr>
          <w:rFonts w:ascii="Garamond" w:hAnsi="Garamond"/>
          <w:kern w:val="0"/>
          <w:sz w:val="22"/>
          <w:szCs w:val="22"/>
        </w:rPr>
        <w:t>enormi</w:t>
      </w:r>
      <w:r w:rsidRPr="00514CCC">
        <w:rPr>
          <w:rFonts w:ascii="Garamond" w:hAnsi="Garamond"/>
          <w:kern w:val="0"/>
          <w:sz w:val="22"/>
          <w:szCs w:val="22"/>
        </w:rPr>
        <w:t xml:space="preserve"> tele dipinte (complessivamente di quaranta metri</w:t>
      </w:r>
      <w:r w:rsidR="003C1003">
        <w:rPr>
          <w:rFonts w:ascii="Garamond" w:hAnsi="Garamond"/>
          <w:kern w:val="0"/>
          <w:sz w:val="22"/>
          <w:szCs w:val="22"/>
        </w:rPr>
        <w:t xml:space="preserve">; </w:t>
      </w:r>
      <w:r w:rsidR="003C1003" w:rsidRPr="003C1003">
        <w:rPr>
          <w:rFonts w:ascii="Garamond" w:hAnsi="Garamond"/>
          <w:kern w:val="0"/>
          <w:sz w:val="22"/>
          <w:szCs w:val="22"/>
        </w:rPr>
        <w:t>due lungh</w:t>
      </w:r>
      <w:r w:rsidR="003C1003">
        <w:rPr>
          <w:rFonts w:ascii="Garamond" w:hAnsi="Garamond"/>
          <w:kern w:val="0"/>
          <w:sz w:val="22"/>
          <w:szCs w:val="22"/>
        </w:rPr>
        <w:t>e</w:t>
      </w:r>
      <w:r w:rsidR="003C1003" w:rsidRPr="003C1003">
        <w:rPr>
          <w:rFonts w:ascii="Garamond" w:hAnsi="Garamond"/>
          <w:kern w:val="0"/>
          <w:sz w:val="22"/>
          <w:szCs w:val="22"/>
        </w:rPr>
        <w:t xml:space="preserve"> quindici metri al</w:t>
      </w:r>
      <w:r w:rsidR="003C1003">
        <w:rPr>
          <w:rFonts w:ascii="Garamond" w:hAnsi="Garamond"/>
          <w:kern w:val="0"/>
          <w:sz w:val="22"/>
          <w:szCs w:val="22"/>
        </w:rPr>
        <w:t>te</w:t>
      </w:r>
      <w:r w:rsidR="003C1003" w:rsidRPr="003C1003">
        <w:rPr>
          <w:rFonts w:ascii="Garamond" w:hAnsi="Garamond"/>
          <w:kern w:val="0"/>
          <w:sz w:val="22"/>
          <w:szCs w:val="22"/>
        </w:rPr>
        <w:t xml:space="preserve"> tre metri e mezzo, </w:t>
      </w:r>
      <w:r w:rsidR="003C1003">
        <w:rPr>
          <w:rFonts w:ascii="Garamond" w:hAnsi="Garamond"/>
          <w:kern w:val="0"/>
          <w:sz w:val="22"/>
          <w:szCs w:val="22"/>
        </w:rPr>
        <w:t>le altre</w:t>
      </w:r>
      <w:r w:rsidR="003C1003" w:rsidRPr="003C1003">
        <w:rPr>
          <w:rFonts w:ascii="Garamond" w:hAnsi="Garamond"/>
          <w:kern w:val="0"/>
          <w:sz w:val="22"/>
          <w:szCs w:val="22"/>
        </w:rPr>
        <w:t xml:space="preserve"> due alt</w:t>
      </w:r>
      <w:r w:rsidR="003C1003">
        <w:rPr>
          <w:rFonts w:ascii="Garamond" w:hAnsi="Garamond"/>
          <w:kern w:val="0"/>
          <w:sz w:val="22"/>
          <w:szCs w:val="22"/>
        </w:rPr>
        <w:t>e</w:t>
      </w:r>
      <w:r w:rsidR="003C1003" w:rsidRPr="003C1003">
        <w:rPr>
          <w:rFonts w:ascii="Garamond" w:hAnsi="Garamond"/>
          <w:kern w:val="0"/>
          <w:sz w:val="22"/>
          <w:szCs w:val="22"/>
        </w:rPr>
        <w:t xml:space="preserve"> uguali ma di otto e cinque metri ciascun</w:t>
      </w:r>
      <w:r w:rsidR="003C1003">
        <w:rPr>
          <w:rFonts w:ascii="Garamond" w:hAnsi="Garamond"/>
          <w:kern w:val="0"/>
          <w:sz w:val="22"/>
          <w:szCs w:val="22"/>
        </w:rPr>
        <w:t>a</w:t>
      </w:r>
      <w:r w:rsidRPr="00514CCC">
        <w:rPr>
          <w:rFonts w:ascii="Garamond" w:hAnsi="Garamond"/>
          <w:kern w:val="0"/>
          <w:sz w:val="22"/>
          <w:szCs w:val="22"/>
        </w:rPr>
        <w:t xml:space="preserve">) </w:t>
      </w:r>
      <w:r w:rsidR="002A0D77">
        <w:rPr>
          <w:rFonts w:ascii="Garamond" w:hAnsi="Garamond"/>
          <w:kern w:val="0"/>
          <w:sz w:val="22"/>
          <w:szCs w:val="22"/>
        </w:rPr>
        <w:t xml:space="preserve">che </w:t>
      </w:r>
      <w:r w:rsidR="002A0D77" w:rsidRPr="002A0D77">
        <w:rPr>
          <w:rFonts w:ascii="Garamond" w:hAnsi="Garamond"/>
          <w:kern w:val="0"/>
          <w:sz w:val="22"/>
          <w:szCs w:val="22"/>
        </w:rPr>
        <w:t>sembrano sorgere direttamente dal pavimento</w:t>
      </w:r>
      <w:r w:rsidR="002A0D77">
        <w:rPr>
          <w:rFonts w:ascii="Garamond" w:hAnsi="Garamond"/>
          <w:kern w:val="0"/>
          <w:sz w:val="22"/>
          <w:szCs w:val="22"/>
        </w:rPr>
        <w:t xml:space="preserve">, </w:t>
      </w:r>
      <w:bookmarkStart w:id="1" w:name="_Hlk211345367"/>
      <w:r w:rsidR="002A0D77">
        <w:rPr>
          <w:rFonts w:ascii="Garamond" w:hAnsi="Garamond"/>
          <w:kern w:val="0"/>
          <w:sz w:val="22"/>
          <w:szCs w:val="22"/>
        </w:rPr>
        <w:t xml:space="preserve">dando l’impressione di </w:t>
      </w:r>
      <w:r w:rsidR="00196884">
        <w:rPr>
          <w:rFonts w:ascii="Garamond" w:hAnsi="Garamond"/>
          <w:kern w:val="0"/>
          <w:sz w:val="22"/>
          <w:szCs w:val="22"/>
        </w:rPr>
        <w:t>trovarsi</w:t>
      </w:r>
      <w:r w:rsidR="002A0D77">
        <w:rPr>
          <w:rFonts w:ascii="Garamond" w:hAnsi="Garamond"/>
          <w:kern w:val="0"/>
          <w:sz w:val="22"/>
          <w:szCs w:val="22"/>
        </w:rPr>
        <w:t xml:space="preserve"> avvolti </w:t>
      </w:r>
      <w:r w:rsidR="00196884">
        <w:rPr>
          <w:rFonts w:ascii="Garamond" w:hAnsi="Garamond"/>
          <w:kern w:val="0"/>
          <w:sz w:val="22"/>
          <w:szCs w:val="22"/>
        </w:rPr>
        <w:t>in</w:t>
      </w:r>
      <w:r w:rsidR="002A0D77">
        <w:rPr>
          <w:rFonts w:ascii="Garamond" w:hAnsi="Garamond"/>
          <w:kern w:val="0"/>
          <w:sz w:val="22"/>
          <w:szCs w:val="22"/>
        </w:rPr>
        <w:t xml:space="preserve"> un panorama silvano</w:t>
      </w:r>
      <w:bookmarkEnd w:id="1"/>
      <w:r w:rsidR="002A0D77">
        <w:rPr>
          <w:rFonts w:ascii="Garamond" w:hAnsi="Garamond"/>
          <w:kern w:val="0"/>
          <w:sz w:val="22"/>
          <w:szCs w:val="22"/>
        </w:rPr>
        <w:t xml:space="preserve">, </w:t>
      </w:r>
      <w:r w:rsidR="002A0D77" w:rsidRPr="002A0D77">
        <w:rPr>
          <w:rFonts w:ascii="Garamond" w:hAnsi="Garamond"/>
          <w:kern w:val="0"/>
          <w:sz w:val="22"/>
          <w:szCs w:val="22"/>
        </w:rPr>
        <w:t xml:space="preserve">dove un fiume lambisce una boscaglia, una cascata </w:t>
      </w:r>
      <w:r w:rsidR="002A0D77">
        <w:rPr>
          <w:rFonts w:ascii="Garamond" w:hAnsi="Garamond"/>
          <w:kern w:val="0"/>
          <w:sz w:val="22"/>
          <w:szCs w:val="22"/>
        </w:rPr>
        <w:t xml:space="preserve">brilla alla luce della </w:t>
      </w:r>
      <w:r w:rsidR="002A0D77" w:rsidRPr="002A0D77">
        <w:rPr>
          <w:rFonts w:ascii="Garamond" w:hAnsi="Garamond"/>
          <w:kern w:val="0"/>
          <w:sz w:val="22"/>
          <w:szCs w:val="22"/>
        </w:rPr>
        <w:t xml:space="preserve">luna, il profilo delle montagne </w:t>
      </w:r>
      <w:r w:rsidR="002A0D77">
        <w:rPr>
          <w:rFonts w:ascii="Garamond" w:hAnsi="Garamond"/>
          <w:kern w:val="0"/>
          <w:sz w:val="22"/>
          <w:szCs w:val="22"/>
        </w:rPr>
        <w:t xml:space="preserve">definisce l’orizzonte. </w:t>
      </w:r>
    </w:p>
    <w:p w14:paraId="0C0629A8" w14:textId="4383D13E" w:rsidR="00606BD6" w:rsidRDefault="002A0D77" w:rsidP="002A0D77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A queste si aggiungono </w:t>
      </w:r>
      <w:r w:rsidR="00514CCC" w:rsidRPr="00514CCC">
        <w:rPr>
          <w:rFonts w:ascii="Garamond" w:hAnsi="Garamond"/>
          <w:kern w:val="0"/>
          <w:sz w:val="22"/>
          <w:szCs w:val="22"/>
        </w:rPr>
        <w:t xml:space="preserve">venti sculture in gommapiuma bruciata, </w:t>
      </w:r>
      <w:r>
        <w:rPr>
          <w:rFonts w:ascii="Garamond" w:hAnsi="Garamond"/>
          <w:kern w:val="0"/>
          <w:sz w:val="22"/>
          <w:szCs w:val="22"/>
        </w:rPr>
        <w:t xml:space="preserve">che assomigliano a tronchi di legno trascinati dalla corrente, </w:t>
      </w:r>
      <w:r w:rsidR="00514CCC" w:rsidRPr="00514CCC">
        <w:rPr>
          <w:rFonts w:ascii="Garamond" w:hAnsi="Garamond"/>
          <w:kern w:val="0"/>
          <w:sz w:val="22"/>
          <w:szCs w:val="22"/>
        </w:rPr>
        <w:t xml:space="preserve">illuminate a intervalli regolari di </w:t>
      </w:r>
      <w:r w:rsidR="00670C22">
        <w:rPr>
          <w:rFonts w:ascii="Garamond" w:hAnsi="Garamond"/>
          <w:kern w:val="0"/>
          <w:sz w:val="22"/>
          <w:szCs w:val="22"/>
        </w:rPr>
        <w:t>12</w:t>
      </w:r>
      <w:r w:rsidR="00514CCC" w:rsidRPr="00514CCC">
        <w:rPr>
          <w:rFonts w:ascii="Garamond" w:hAnsi="Garamond"/>
          <w:kern w:val="0"/>
          <w:sz w:val="22"/>
          <w:szCs w:val="22"/>
        </w:rPr>
        <w:t xml:space="preserve"> </w:t>
      </w:r>
      <w:r w:rsidR="00514CCC" w:rsidRPr="00514CCC">
        <w:rPr>
          <w:rFonts w:ascii="Garamond" w:hAnsi="Garamond"/>
          <w:kern w:val="0"/>
          <w:sz w:val="22"/>
          <w:szCs w:val="22"/>
        </w:rPr>
        <w:lastRenderedPageBreak/>
        <w:t>minuti, con l’intenzione di fornire un’emozione simile a quella che si prova</w:t>
      </w:r>
      <w:r>
        <w:rPr>
          <w:rFonts w:ascii="Garamond" w:hAnsi="Garamond"/>
          <w:kern w:val="0"/>
          <w:sz w:val="22"/>
          <w:szCs w:val="22"/>
        </w:rPr>
        <w:t xml:space="preserve"> a passeggiare</w:t>
      </w:r>
      <w:r w:rsidR="00514CCC" w:rsidRPr="00514CCC">
        <w:rPr>
          <w:rFonts w:ascii="Garamond" w:hAnsi="Garamond"/>
          <w:kern w:val="0"/>
          <w:sz w:val="22"/>
          <w:szCs w:val="22"/>
        </w:rPr>
        <w:t xml:space="preserve"> di notte vicino a un corso d’acqua, in un ambiente disabitato.</w:t>
      </w:r>
    </w:p>
    <w:bookmarkEnd w:id="0"/>
    <w:p w14:paraId="7247D0A5" w14:textId="27EC31C4" w:rsidR="002A0D77" w:rsidRDefault="002A0D77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2A0D77">
        <w:rPr>
          <w:rFonts w:ascii="Garamond" w:hAnsi="Garamond"/>
          <w:kern w:val="0"/>
          <w:sz w:val="22"/>
          <w:szCs w:val="22"/>
        </w:rPr>
        <w:t xml:space="preserve">Alla base del progetto, studiato </w:t>
      </w:r>
      <w:r>
        <w:rPr>
          <w:rFonts w:ascii="Garamond" w:hAnsi="Garamond"/>
          <w:kern w:val="0"/>
          <w:sz w:val="22"/>
          <w:szCs w:val="22"/>
        </w:rPr>
        <w:t xml:space="preserve">da Giovanni Frangi </w:t>
      </w:r>
      <w:r w:rsidRPr="002A0D77">
        <w:rPr>
          <w:rFonts w:ascii="Garamond" w:hAnsi="Garamond"/>
          <w:kern w:val="0"/>
          <w:sz w:val="22"/>
          <w:szCs w:val="22"/>
        </w:rPr>
        <w:t xml:space="preserve">insieme a Giovanni Agosti, </w:t>
      </w:r>
      <w:r>
        <w:rPr>
          <w:rFonts w:ascii="Garamond" w:hAnsi="Garamond"/>
          <w:kern w:val="0"/>
          <w:sz w:val="22"/>
          <w:szCs w:val="22"/>
        </w:rPr>
        <w:t xml:space="preserve">c’è infatti l’intenzione di </w:t>
      </w:r>
      <w:r w:rsidRPr="002A0D77">
        <w:rPr>
          <w:rFonts w:ascii="Garamond" w:hAnsi="Garamond"/>
          <w:kern w:val="0"/>
          <w:sz w:val="22"/>
          <w:szCs w:val="22"/>
        </w:rPr>
        <w:t xml:space="preserve">trasmettere allo spettatore l’impressione </w:t>
      </w:r>
      <w:r>
        <w:rPr>
          <w:rFonts w:ascii="Garamond" w:hAnsi="Garamond"/>
          <w:kern w:val="0"/>
          <w:sz w:val="22"/>
          <w:szCs w:val="22"/>
        </w:rPr>
        <w:t xml:space="preserve">di </w:t>
      </w:r>
      <w:r w:rsidR="00196884">
        <w:rPr>
          <w:rFonts w:ascii="Garamond" w:hAnsi="Garamond"/>
          <w:kern w:val="0"/>
          <w:sz w:val="22"/>
          <w:szCs w:val="22"/>
        </w:rPr>
        <w:t>essere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2A0D77">
        <w:rPr>
          <w:rFonts w:ascii="Garamond" w:hAnsi="Garamond"/>
          <w:kern w:val="0"/>
          <w:sz w:val="22"/>
          <w:szCs w:val="22"/>
        </w:rPr>
        <w:t>in aperta campagna, vicino ad un corso d’acqua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Pr="002A0D77">
        <w:rPr>
          <w:rFonts w:ascii="Garamond" w:hAnsi="Garamond"/>
          <w:kern w:val="0"/>
          <w:sz w:val="22"/>
          <w:szCs w:val="22"/>
        </w:rPr>
        <w:t>in una notte di plenilunio</w:t>
      </w:r>
      <w:bookmarkStart w:id="2" w:name="_Hlk208215173"/>
    </w:p>
    <w:p w14:paraId="7C199004" w14:textId="77777777" w:rsidR="002A0D77" w:rsidRDefault="002A0D77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0D208CAC" w14:textId="481C2DE5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L</w:t>
      </w:r>
      <w:r w:rsidR="00606BD6">
        <w:rPr>
          <w:rFonts w:ascii="Garamond" w:hAnsi="Garamond"/>
          <w:kern w:val="0"/>
          <w:sz w:val="22"/>
          <w:szCs w:val="22"/>
        </w:rPr>
        <w:t>’appuntamento milanese</w:t>
      </w:r>
      <w:r>
        <w:rPr>
          <w:rFonts w:ascii="Garamond" w:hAnsi="Garamond"/>
          <w:kern w:val="0"/>
          <w:sz w:val="22"/>
          <w:szCs w:val="22"/>
        </w:rPr>
        <w:t xml:space="preserve"> si avvale di un nuovo allestimento a cura di </w:t>
      </w:r>
      <w:r w:rsidRPr="00514CCC">
        <w:rPr>
          <w:rFonts w:ascii="Garamond" w:hAnsi="Garamond"/>
          <w:b/>
          <w:bCs/>
          <w:kern w:val="0"/>
          <w:sz w:val="22"/>
          <w:szCs w:val="22"/>
        </w:rPr>
        <w:t>Francesco Librizzi</w:t>
      </w:r>
      <w:r>
        <w:rPr>
          <w:rFonts w:ascii="Garamond" w:hAnsi="Garamond"/>
          <w:kern w:val="0"/>
          <w:sz w:val="22"/>
          <w:szCs w:val="22"/>
        </w:rPr>
        <w:t xml:space="preserve">, che ha lavorato con </w:t>
      </w:r>
      <w:r w:rsidRPr="00514CCC">
        <w:rPr>
          <w:rFonts w:ascii="Garamond" w:hAnsi="Garamond"/>
          <w:kern w:val="0"/>
          <w:sz w:val="22"/>
          <w:szCs w:val="22"/>
        </w:rPr>
        <w:t>l’intento di conservare l’esperienza originaria</w:t>
      </w:r>
      <w:r>
        <w:rPr>
          <w:rFonts w:ascii="Garamond" w:hAnsi="Garamond"/>
          <w:kern w:val="0"/>
          <w:sz w:val="22"/>
          <w:szCs w:val="22"/>
        </w:rPr>
        <w:t xml:space="preserve"> dell’installazione</w:t>
      </w:r>
      <w:r w:rsidRPr="00514CCC">
        <w:rPr>
          <w:rFonts w:ascii="Garamond" w:hAnsi="Garamond"/>
          <w:kern w:val="0"/>
          <w:sz w:val="22"/>
          <w:szCs w:val="22"/>
        </w:rPr>
        <w:t xml:space="preserve"> e, allo stesso tempo, di rafforzarne il legame con </w:t>
      </w:r>
      <w:r>
        <w:rPr>
          <w:rFonts w:ascii="Garamond" w:hAnsi="Garamond"/>
          <w:kern w:val="0"/>
          <w:sz w:val="22"/>
          <w:szCs w:val="22"/>
        </w:rPr>
        <w:t xml:space="preserve">la Sala Sterling in Palazzo Citterio, </w:t>
      </w:r>
      <w:r w:rsidRPr="00514CCC">
        <w:rPr>
          <w:rFonts w:ascii="Garamond" w:hAnsi="Garamond"/>
          <w:kern w:val="0"/>
          <w:sz w:val="22"/>
          <w:szCs w:val="22"/>
        </w:rPr>
        <w:t>un ambiente fortemente caratterizzato</w:t>
      </w:r>
      <w:r>
        <w:rPr>
          <w:rFonts w:ascii="Garamond" w:hAnsi="Garamond"/>
          <w:kern w:val="0"/>
          <w:sz w:val="22"/>
          <w:szCs w:val="22"/>
        </w:rPr>
        <w:t xml:space="preserve"> da</w:t>
      </w:r>
      <w:r w:rsidRPr="00514CCC">
        <w:rPr>
          <w:rFonts w:ascii="Garamond" w:hAnsi="Garamond"/>
          <w:kern w:val="0"/>
          <w:sz w:val="22"/>
          <w:szCs w:val="22"/>
        </w:rPr>
        <w:t xml:space="preserve"> un </w:t>
      </w:r>
      <w:r w:rsidR="00B273D8">
        <w:rPr>
          <w:rFonts w:ascii="Garamond" w:hAnsi="Garamond"/>
          <w:kern w:val="0"/>
          <w:sz w:val="22"/>
          <w:szCs w:val="22"/>
        </w:rPr>
        <w:t>ampio</w:t>
      </w:r>
      <w:r w:rsidRPr="00514CCC">
        <w:rPr>
          <w:rFonts w:ascii="Garamond" w:hAnsi="Garamond"/>
          <w:kern w:val="0"/>
          <w:sz w:val="22"/>
          <w:szCs w:val="22"/>
        </w:rPr>
        <w:t xml:space="preserve"> volume cubico in cemento a vista, con un pilastro centrale e una scala monumentale che impone un confronto diretto con tutto ciò che viene inserito al suo interno.</w:t>
      </w:r>
    </w:p>
    <w:p w14:paraId="6387EFC1" w14:textId="468D6E44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Per questo motivo, </w:t>
      </w:r>
      <w:r w:rsidRPr="00514CCC">
        <w:rPr>
          <w:rFonts w:ascii="Garamond" w:hAnsi="Garamond"/>
          <w:kern w:val="0"/>
          <w:sz w:val="22"/>
          <w:szCs w:val="22"/>
        </w:rPr>
        <w:t xml:space="preserve">è stata costruita una struttura che contiene </w:t>
      </w:r>
      <w:r>
        <w:rPr>
          <w:rFonts w:ascii="Garamond" w:hAnsi="Garamond"/>
          <w:kern w:val="0"/>
          <w:sz w:val="22"/>
          <w:szCs w:val="22"/>
        </w:rPr>
        <w:t xml:space="preserve">l’opera </w:t>
      </w:r>
      <w:r w:rsidRPr="00514CCC">
        <w:rPr>
          <w:rFonts w:ascii="Garamond" w:hAnsi="Garamond"/>
          <w:kern w:val="0"/>
          <w:sz w:val="22"/>
          <w:szCs w:val="22"/>
        </w:rPr>
        <w:t>e la introduce come una grande quinta scenica.</w:t>
      </w:r>
    </w:p>
    <w:bookmarkEnd w:id="2"/>
    <w:p w14:paraId="5E5FE516" w14:textId="77777777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7CD624C2" w14:textId="1434B608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“</w:t>
      </w:r>
      <w:r w:rsidRPr="00056E2B">
        <w:rPr>
          <w:rFonts w:ascii="Garamond" w:hAnsi="Garamond"/>
          <w:kern w:val="0"/>
          <w:sz w:val="22"/>
          <w:szCs w:val="22"/>
        </w:rPr>
        <w:t xml:space="preserve">Le tele di </w:t>
      </w:r>
      <w:r w:rsidRPr="00056E2B">
        <w:rPr>
          <w:rFonts w:ascii="Garamond" w:hAnsi="Garamond"/>
          <w:i/>
          <w:iCs/>
          <w:kern w:val="0"/>
          <w:sz w:val="22"/>
          <w:szCs w:val="22"/>
        </w:rPr>
        <w:t>Nobu</w:t>
      </w:r>
      <w:r>
        <w:rPr>
          <w:rFonts w:ascii="Garamond" w:hAnsi="Garamond"/>
          <w:i/>
          <w:iCs/>
          <w:kern w:val="0"/>
          <w:sz w:val="22"/>
          <w:szCs w:val="22"/>
        </w:rPr>
        <w:t>,</w:t>
      </w:r>
      <w:r w:rsidRPr="00056E2B">
        <w:rPr>
          <w:rFonts w:ascii="Garamond" w:hAnsi="Garamond"/>
          <w:kern w:val="0"/>
          <w:sz w:val="22"/>
          <w:szCs w:val="22"/>
        </w:rPr>
        <w:t xml:space="preserve"> insieme alle sculture in gommapiuma sono rimaste per vent’anni in un mio magazzino</w:t>
      </w:r>
      <w:r>
        <w:rPr>
          <w:rFonts w:ascii="Garamond" w:hAnsi="Garamond"/>
          <w:kern w:val="0"/>
          <w:sz w:val="22"/>
          <w:szCs w:val="22"/>
        </w:rPr>
        <w:t xml:space="preserve"> – </w:t>
      </w:r>
      <w:r w:rsidRPr="00056E2B">
        <w:rPr>
          <w:rFonts w:ascii="Garamond" w:hAnsi="Garamond"/>
          <w:b/>
          <w:bCs/>
          <w:kern w:val="0"/>
          <w:sz w:val="22"/>
          <w:szCs w:val="22"/>
        </w:rPr>
        <w:t>ricorda Giovanni Frangi</w:t>
      </w:r>
      <w:r>
        <w:rPr>
          <w:rFonts w:ascii="Garamond" w:hAnsi="Garamond"/>
          <w:kern w:val="0"/>
          <w:sz w:val="22"/>
          <w:szCs w:val="22"/>
        </w:rPr>
        <w:t xml:space="preserve"> -</w:t>
      </w:r>
      <w:r w:rsidRPr="00056E2B">
        <w:rPr>
          <w:rFonts w:ascii="Garamond" w:hAnsi="Garamond"/>
          <w:kern w:val="0"/>
          <w:sz w:val="22"/>
          <w:szCs w:val="22"/>
        </w:rPr>
        <w:t xml:space="preserve"> arrotolate su sei tubi di 4 metri. In un grande capannone ho cominciato a srotolarli per terra come dei </w:t>
      </w:r>
      <w:r w:rsidR="00196884" w:rsidRPr="00056E2B">
        <w:rPr>
          <w:rFonts w:ascii="Garamond" w:hAnsi="Garamond"/>
          <w:kern w:val="0"/>
          <w:sz w:val="22"/>
          <w:szCs w:val="22"/>
        </w:rPr>
        <w:t>giganteschi</w:t>
      </w:r>
      <w:r w:rsidRPr="00056E2B">
        <w:rPr>
          <w:rFonts w:ascii="Garamond" w:hAnsi="Garamond"/>
          <w:kern w:val="0"/>
          <w:sz w:val="22"/>
          <w:szCs w:val="22"/>
        </w:rPr>
        <w:t xml:space="preserve"> tappeti e hanno ripreso a respirare con l’olio che pareva ancora fresco in alcune zone</w:t>
      </w:r>
      <w:r>
        <w:rPr>
          <w:rFonts w:ascii="Garamond" w:hAnsi="Garamond"/>
          <w:kern w:val="0"/>
          <w:sz w:val="22"/>
          <w:szCs w:val="22"/>
        </w:rPr>
        <w:t>”</w:t>
      </w:r>
      <w:r w:rsidRPr="00056E2B">
        <w:rPr>
          <w:rFonts w:ascii="Garamond" w:hAnsi="Garamond"/>
          <w:kern w:val="0"/>
          <w:sz w:val="22"/>
          <w:szCs w:val="22"/>
        </w:rPr>
        <w:t>.</w:t>
      </w:r>
    </w:p>
    <w:p w14:paraId="4ADA6A12" w14:textId="315BA214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“</w:t>
      </w:r>
      <w:r w:rsidRPr="00056E2B">
        <w:rPr>
          <w:rFonts w:ascii="Garamond" w:hAnsi="Garamond"/>
          <w:kern w:val="0"/>
          <w:sz w:val="22"/>
          <w:szCs w:val="22"/>
        </w:rPr>
        <w:t xml:space="preserve">Rimontare </w:t>
      </w:r>
      <w:r w:rsidRPr="00056E2B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056E2B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056E2B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="0067354A">
        <w:rPr>
          <w:rFonts w:ascii="Garamond" w:hAnsi="Garamond"/>
          <w:kern w:val="0"/>
          <w:sz w:val="22"/>
          <w:szCs w:val="22"/>
        </w:rPr>
        <w:t xml:space="preserve">nella Sala Stirling </w:t>
      </w:r>
      <w:r>
        <w:rPr>
          <w:rFonts w:ascii="Garamond" w:hAnsi="Garamond"/>
          <w:kern w:val="0"/>
          <w:sz w:val="22"/>
          <w:szCs w:val="22"/>
        </w:rPr>
        <w:t>– prosegue Giovanni Frangi -</w:t>
      </w:r>
      <w:r w:rsidR="00CA328D">
        <w:rPr>
          <w:rFonts w:ascii="Garamond" w:hAnsi="Garamond"/>
          <w:kern w:val="0"/>
          <w:sz w:val="22"/>
          <w:szCs w:val="22"/>
        </w:rPr>
        <w:t xml:space="preserve"> </w:t>
      </w:r>
      <w:r w:rsidRPr="00056E2B">
        <w:rPr>
          <w:rFonts w:ascii="Garamond" w:hAnsi="Garamond"/>
          <w:kern w:val="0"/>
          <w:sz w:val="22"/>
          <w:szCs w:val="22"/>
        </w:rPr>
        <w:t xml:space="preserve">che a questo punto è diventato </w:t>
      </w:r>
      <w:proofErr w:type="spellStart"/>
      <w:r w:rsidRPr="00056E2B">
        <w:rPr>
          <w:rFonts w:ascii="Garamond" w:hAnsi="Garamond"/>
          <w:i/>
          <w:iCs/>
          <w:kern w:val="0"/>
          <w:sz w:val="22"/>
          <w:szCs w:val="22"/>
        </w:rPr>
        <w:t>Redux</w:t>
      </w:r>
      <w:proofErr w:type="spellEnd"/>
      <w:r w:rsidRPr="00056E2B">
        <w:rPr>
          <w:rFonts w:ascii="Garamond" w:hAnsi="Garamond"/>
          <w:kern w:val="0"/>
          <w:sz w:val="22"/>
          <w:szCs w:val="22"/>
        </w:rPr>
        <w:t xml:space="preserve">, è stata un’impresa perché con Francesco Librizzi e Giovanni Agosti abbiamo valutato per dei mesi molte diverse possibilità. </w:t>
      </w:r>
      <w:r w:rsidR="0067354A" w:rsidRPr="00056E2B">
        <w:rPr>
          <w:rFonts w:ascii="Garamond" w:hAnsi="Garamond"/>
          <w:kern w:val="0"/>
          <w:sz w:val="22"/>
          <w:szCs w:val="22"/>
        </w:rPr>
        <w:t>Alla fine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la scelta è la più </w:t>
      </w:r>
      <w:r w:rsidR="0067354A">
        <w:rPr>
          <w:rFonts w:ascii="Garamond" w:hAnsi="Garamond"/>
          <w:kern w:val="0"/>
          <w:sz w:val="22"/>
          <w:szCs w:val="22"/>
        </w:rPr>
        <w:t>‘</w:t>
      </w:r>
      <w:proofErr w:type="spellStart"/>
      <w:r w:rsidR="0067354A" w:rsidRPr="00056E2B">
        <w:rPr>
          <w:rFonts w:ascii="Garamond" w:hAnsi="Garamond"/>
          <w:kern w:val="0"/>
          <w:sz w:val="22"/>
          <w:szCs w:val="22"/>
        </w:rPr>
        <w:t>st</w:t>
      </w:r>
      <w:r w:rsidR="0067354A">
        <w:rPr>
          <w:rFonts w:ascii="Garamond" w:hAnsi="Garamond"/>
          <w:kern w:val="0"/>
          <w:sz w:val="22"/>
          <w:szCs w:val="22"/>
        </w:rPr>
        <w:t>i</w:t>
      </w:r>
      <w:r w:rsidR="0067354A" w:rsidRPr="00056E2B">
        <w:rPr>
          <w:rFonts w:ascii="Garamond" w:hAnsi="Garamond"/>
          <w:kern w:val="0"/>
          <w:sz w:val="22"/>
          <w:szCs w:val="22"/>
        </w:rPr>
        <w:t>rlinghiana</w:t>
      </w:r>
      <w:proofErr w:type="spellEnd"/>
      <w:r w:rsidR="0067354A">
        <w:rPr>
          <w:rFonts w:ascii="Garamond" w:hAnsi="Garamond"/>
          <w:kern w:val="0"/>
          <w:sz w:val="22"/>
          <w:szCs w:val="22"/>
        </w:rPr>
        <w:t>’: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da un lato </w:t>
      </w:r>
      <w:r w:rsidR="0067354A">
        <w:rPr>
          <w:rFonts w:ascii="Garamond" w:hAnsi="Garamond"/>
          <w:kern w:val="0"/>
          <w:sz w:val="22"/>
          <w:szCs w:val="22"/>
        </w:rPr>
        <w:t>per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rispetto al brutalismo dello spazio e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dall’altro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</w:t>
      </w:r>
      <w:r w:rsidR="0067354A">
        <w:rPr>
          <w:rFonts w:ascii="Garamond" w:hAnsi="Garamond"/>
          <w:kern w:val="0"/>
          <w:sz w:val="22"/>
          <w:szCs w:val="22"/>
        </w:rPr>
        <w:t xml:space="preserve">perché 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è quella che ci ha permesso di rimontare il lavoro come era stato concepito a misura per gli spazi della Scuderia Grande di Villa Panza nel 2004. </w:t>
      </w:r>
      <w:r w:rsidR="0067354A">
        <w:rPr>
          <w:rFonts w:ascii="Garamond" w:hAnsi="Garamond"/>
          <w:kern w:val="0"/>
          <w:sz w:val="22"/>
          <w:szCs w:val="22"/>
        </w:rPr>
        <w:t xml:space="preserve">È </w:t>
      </w:r>
      <w:r w:rsidR="0067354A" w:rsidRPr="00056E2B">
        <w:rPr>
          <w:rFonts w:ascii="Garamond" w:hAnsi="Garamond"/>
          <w:kern w:val="0"/>
          <w:sz w:val="22"/>
          <w:szCs w:val="22"/>
        </w:rPr>
        <w:t>una scommessa co</w:t>
      </w:r>
      <w:r w:rsidR="0067354A">
        <w:rPr>
          <w:rFonts w:ascii="Garamond" w:hAnsi="Garamond"/>
          <w:kern w:val="0"/>
          <w:sz w:val="22"/>
          <w:szCs w:val="22"/>
        </w:rPr>
        <w:t>n i</w:t>
      </w:r>
      <w:r w:rsidR="0067354A" w:rsidRPr="00056E2B">
        <w:rPr>
          <w:rFonts w:ascii="Garamond" w:hAnsi="Garamond"/>
          <w:kern w:val="0"/>
          <w:sz w:val="22"/>
          <w:szCs w:val="22"/>
        </w:rPr>
        <w:t>l tempo che passa, un modo di mettersi alla prova e vedere l’effetto cha fa</w:t>
      </w:r>
      <w:r w:rsidR="0067354A">
        <w:rPr>
          <w:rFonts w:ascii="Garamond" w:hAnsi="Garamond"/>
          <w:kern w:val="0"/>
          <w:sz w:val="22"/>
          <w:szCs w:val="22"/>
        </w:rPr>
        <w:t>”.</w:t>
      </w:r>
    </w:p>
    <w:p w14:paraId="2F5923D3" w14:textId="77777777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5DAE3843" w14:textId="7957D73C" w:rsidR="00606BD6" w:rsidRDefault="0067354A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Del percorso espositivo sono parte indissolubile i </w:t>
      </w:r>
      <w:r w:rsidRPr="0067354A">
        <w:rPr>
          <w:rFonts w:ascii="Garamond" w:hAnsi="Garamond"/>
          <w:b/>
          <w:bCs/>
          <w:kern w:val="0"/>
          <w:sz w:val="22"/>
          <w:szCs w:val="22"/>
        </w:rPr>
        <w:t>13</w:t>
      </w:r>
      <w:r w:rsidR="00670C22">
        <w:rPr>
          <w:rFonts w:ascii="Garamond" w:hAnsi="Garamond"/>
          <w:b/>
          <w:bCs/>
          <w:kern w:val="0"/>
          <w:sz w:val="22"/>
          <w:szCs w:val="22"/>
        </w:rPr>
        <w:t>2</w:t>
      </w:r>
      <w:r w:rsidRPr="0067354A">
        <w:rPr>
          <w:rFonts w:ascii="Garamond" w:hAnsi="Garamond"/>
          <w:b/>
          <w:bCs/>
          <w:kern w:val="0"/>
          <w:sz w:val="22"/>
          <w:szCs w:val="22"/>
        </w:rPr>
        <w:t xml:space="preserve"> fogli</w:t>
      </w:r>
      <w:r w:rsidRPr="00056E2B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che testimoniano il diario della lavorazione di </w:t>
      </w:r>
      <w:r w:rsidRPr="00392FB8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392FB8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392FB8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 e le molteplici suggestioni che sono state dietro alla costruzione dell’opera. “</w:t>
      </w:r>
      <w:r w:rsidRPr="00175F24">
        <w:rPr>
          <w:rFonts w:ascii="Garamond" w:hAnsi="Garamond"/>
          <w:kern w:val="0"/>
          <w:sz w:val="22"/>
          <w:szCs w:val="22"/>
        </w:rPr>
        <w:t>Il mito della creazione</w:t>
      </w:r>
      <w:r>
        <w:rPr>
          <w:rFonts w:ascii="Garamond" w:hAnsi="Garamond"/>
          <w:kern w:val="0"/>
          <w:sz w:val="22"/>
          <w:szCs w:val="22"/>
        </w:rPr>
        <w:t xml:space="preserve"> sorgiva – </w:t>
      </w:r>
      <w:r w:rsidRPr="00196884">
        <w:rPr>
          <w:rFonts w:ascii="Garamond" w:hAnsi="Garamond"/>
          <w:b/>
          <w:bCs/>
          <w:kern w:val="0"/>
          <w:sz w:val="22"/>
          <w:szCs w:val="22"/>
        </w:rPr>
        <w:t>aggiunge Giovanni Agosti</w:t>
      </w:r>
      <w:r>
        <w:rPr>
          <w:rFonts w:ascii="Garamond" w:hAnsi="Garamond"/>
          <w:kern w:val="0"/>
          <w:sz w:val="22"/>
          <w:szCs w:val="22"/>
        </w:rPr>
        <w:t xml:space="preserve"> –</w:t>
      </w:r>
      <w:r w:rsidRPr="00175F24">
        <w:rPr>
          <w:rFonts w:ascii="Garamond" w:hAnsi="Garamond"/>
          <w:kern w:val="0"/>
          <w:sz w:val="22"/>
          <w:szCs w:val="22"/>
        </w:rPr>
        <w:t xml:space="preserve"> è contraddetto dalla presentazione, foglio dopo foglio, di una sorta di diario che presenta ispirazioni, dirottamenti, divagazioni e false piste, in modo da fornire più chiavi di lettura a un’opera così complessa e stratificata, ma nel contempo così elementare ed immediata</w:t>
      </w:r>
      <w:r>
        <w:rPr>
          <w:rFonts w:ascii="Garamond" w:hAnsi="Garamond"/>
          <w:kern w:val="0"/>
          <w:sz w:val="22"/>
          <w:szCs w:val="22"/>
        </w:rPr>
        <w:t>”</w:t>
      </w:r>
      <w:r w:rsidRPr="00175F24">
        <w:rPr>
          <w:rFonts w:ascii="Garamond" w:hAnsi="Garamond"/>
          <w:kern w:val="0"/>
          <w:sz w:val="22"/>
          <w:szCs w:val="22"/>
        </w:rPr>
        <w:t>.</w:t>
      </w:r>
    </w:p>
    <w:p w14:paraId="1C4569D6" w14:textId="77777777" w:rsidR="0067354A" w:rsidRDefault="0067354A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6EF89E14" w14:textId="18A26EF6" w:rsidR="009A42B0" w:rsidRDefault="000D5642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102395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F9246D">
        <w:rPr>
          <w:rFonts w:ascii="Garamond" w:eastAsia="Garamond" w:hAnsi="Garamond" w:cs="Garamond"/>
          <w:kern w:val="0"/>
          <w:sz w:val="22"/>
          <w:szCs w:val="22"/>
        </w:rPr>
        <w:t xml:space="preserve">29 </w:t>
      </w:r>
      <w:r w:rsidR="00196884">
        <w:rPr>
          <w:rFonts w:ascii="Garamond" w:eastAsia="Garamond" w:hAnsi="Garamond" w:cs="Garamond"/>
          <w:kern w:val="0"/>
          <w:sz w:val="22"/>
          <w:szCs w:val="22"/>
        </w:rPr>
        <w:t>ottobre</w:t>
      </w:r>
      <w:r w:rsidR="0098538F" w:rsidRPr="00102395">
        <w:rPr>
          <w:rFonts w:ascii="Garamond" w:eastAsia="Garamond" w:hAnsi="Garamond" w:cs="Garamond"/>
          <w:kern w:val="0"/>
          <w:sz w:val="22"/>
          <w:szCs w:val="22"/>
        </w:rPr>
        <w:t xml:space="preserve"> </w:t>
      </w:r>
      <w:r w:rsidRPr="00102395">
        <w:rPr>
          <w:rFonts w:ascii="Garamond" w:eastAsia="Garamond" w:hAnsi="Garamond" w:cs="Garamond"/>
          <w:kern w:val="0"/>
          <w:sz w:val="22"/>
          <w:szCs w:val="22"/>
        </w:rPr>
        <w:t>2025</w:t>
      </w:r>
    </w:p>
    <w:p w14:paraId="223F8A8F" w14:textId="77777777" w:rsidR="00102395" w:rsidRDefault="00102395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6A773A4E" w14:textId="2B3DEA2C" w:rsidR="00196884" w:rsidRDefault="00196884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>
        <w:rPr>
          <w:rFonts w:ascii="Garamond" w:eastAsia="Garamond" w:hAnsi="Garamond" w:cs="Garamond"/>
          <w:kern w:val="0"/>
          <w:sz w:val="22"/>
          <w:szCs w:val="22"/>
        </w:rPr>
        <w:br w:type="page"/>
      </w:r>
    </w:p>
    <w:p w14:paraId="014D55C8" w14:textId="77777777" w:rsidR="007B6069" w:rsidRPr="00102395" w:rsidRDefault="007B6069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4A266190" w14:textId="6EBE111C" w:rsidR="00381FCD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kern w:val="0"/>
          <w:sz w:val="20"/>
          <w:szCs w:val="20"/>
        </w:rPr>
        <w:t>FRANGI</w:t>
      </w:r>
    </w:p>
    <w:p w14:paraId="6C38A2DC" w14:textId="77777777" w:rsidR="0067354A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  <w:t xml:space="preserve">NOBU AT ELBA </w:t>
      </w:r>
    </w:p>
    <w:p w14:paraId="71DC7FA3" w14:textId="2DFA0904" w:rsidR="00102395" w:rsidRPr="00102395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  <w:t>REDUX</w:t>
      </w:r>
    </w:p>
    <w:p w14:paraId="7DB95F15" w14:textId="77777777" w:rsidR="00381FCD" w:rsidRPr="00102395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102395">
        <w:rPr>
          <w:rFonts w:ascii="Garamond" w:hAnsi="Garamond"/>
          <w:kern w:val="0"/>
          <w:sz w:val="20"/>
          <w:szCs w:val="20"/>
        </w:rPr>
        <w:t>Milano, Palazzo Citterio | Sala Stirling (via Brera 12)</w:t>
      </w:r>
    </w:p>
    <w:p w14:paraId="20C6E06D" w14:textId="5C060C43" w:rsidR="00102395" w:rsidRDefault="00F8485E" w:rsidP="00102395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30</w:t>
      </w:r>
      <w:r w:rsidR="00102395" w:rsidRPr="00102395">
        <w:rPr>
          <w:rFonts w:ascii="Garamond" w:hAnsi="Garamond"/>
          <w:b/>
          <w:bCs/>
          <w:kern w:val="0"/>
          <w:sz w:val="20"/>
          <w:szCs w:val="20"/>
        </w:rPr>
        <w:t xml:space="preserve"> ottobre 2025 – 18 gennaio 2026</w:t>
      </w:r>
    </w:p>
    <w:p w14:paraId="6473FB3B" w14:textId="77777777" w:rsidR="00102395" w:rsidRDefault="00102395" w:rsidP="00102395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6E8F4FBF" w14:textId="17ECCE9C" w:rsidR="00102395" w:rsidRDefault="00102395" w:rsidP="00102395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>
        <w:rPr>
          <w:rFonts w:ascii="Garamond" w:hAnsi="Garamond"/>
          <w:kern w:val="0"/>
          <w:sz w:val="20"/>
          <w:szCs w:val="20"/>
        </w:rPr>
        <w:t>A cura di Giovanni Agosti</w:t>
      </w:r>
    </w:p>
    <w:p w14:paraId="45232890" w14:textId="76D0F069" w:rsidR="00381FCD" w:rsidRPr="009C2896" w:rsidRDefault="00102395" w:rsidP="00102395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>
        <w:rPr>
          <w:rFonts w:ascii="Garamond" w:hAnsi="Garamond"/>
          <w:kern w:val="0"/>
          <w:sz w:val="20"/>
          <w:szCs w:val="20"/>
        </w:rPr>
        <w:t>Allestimento a cura di Francesco Librizzi</w:t>
      </w:r>
    </w:p>
    <w:p w14:paraId="70D7E6F0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5C38218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49E125DE" w14:textId="77777777" w:rsidR="00E554D8" w:rsidRPr="007B6069" w:rsidRDefault="00E554D8" w:rsidP="00E554D8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  <w:u w:val="single"/>
        </w:rPr>
      </w:pPr>
      <w:r w:rsidRPr="007B6069">
        <w:rPr>
          <w:rFonts w:ascii="Garamond" w:hAnsi="Garamond"/>
          <w:i/>
          <w:iCs/>
          <w:kern w:val="0"/>
          <w:sz w:val="20"/>
          <w:szCs w:val="20"/>
          <w:u w:val="single"/>
        </w:rPr>
        <w:t>Fino a dicembre 2025, ogni primo sabato del mese, 10.00-19.00</w:t>
      </w:r>
    </w:p>
    <w:p w14:paraId="5862A4C4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5B57C912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1C99785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3DC6BD4E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0C593A1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palazzocitterio.org</w:t>
      </w:r>
    </w:p>
    <w:p w14:paraId="56158B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387022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3D6A362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@palazzocitterio.brera</w:t>
      </w:r>
    </w:p>
    <w:p w14:paraId="2EAB97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07DB6D10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7F3A5DB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292E680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9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745981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28BB85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3CF8FC0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36E8B8C9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0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1905CB9E" w14:textId="77777777" w:rsidR="00381FCD" w:rsidRPr="009A42B0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1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p w14:paraId="66D8BA1E" w14:textId="748C6C5F" w:rsidR="009A42B0" w:rsidRPr="009A42B0" w:rsidRDefault="009A42B0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sectPr w:rsidR="009A42B0" w:rsidRPr="009A42B0">
      <w:headerReference w:type="default" r:id="rId12"/>
      <w:headerReference w:type="first" r:id="rId13"/>
      <w:footerReference w:type="first" r:id="rId14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39606" w14:textId="77777777" w:rsidR="00810DD1" w:rsidRDefault="00810DD1">
      <w:pPr>
        <w:spacing w:after="0" w:line="240" w:lineRule="auto"/>
      </w:pPr>
      <w:r>
        <w:separator/>
      </w:r>
    </w:p>
  </w:endnote>
  <w:endnote w:type="continuationSeparator" w:id="0">
    <w:p w14:paraId="39831B84" w14:textId="77777777" w:rsidR="00810DD1" w:rsidRDefault="00810DD1">
      <w:pPr>
        <w:spacing w:after="0" w:line="240" w:lineRule="auto"/>
      </w:pPr>
      <w:r>
        <w:continuationSeparator/>
      </w:r>
    </w:p>
  </w:endnote>
  <w:endnote w:type="continuationNotice" w:id="1">
    <w:p w14:paraId="64975B41" w14:textId="77777777" w:rsidR="00810DD1" w:rsidRDefault="00810D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5AE50" w14:textId="77777777" w:rsidR="00810DD1" w:rsidRDefault="00810DD1">
      <w:pPr>
        <w:spacing w:after="0" w:line="240" w:lineRule="auto"/>
      </w:pPr>
      <w:r>
        <w:separator/>
      </w:r>
    </w:p>
  </w:footnote>
  <w:footnote w:type="continuationSeparator" w:id="0">
    <w:p w14:paraId="5FBA344F" w14:textId="77777777" w:rsidR="00810DD1" w:rsidRDefault="00810DD1">
      <w:pPr>
        <w:spacing w:after="0" w:line="240" w:lineRule="auto"/>
      </w:pPr>
      <w:r>
        <w:continuationSeparator/>
      </w:r>
    </w:p>
  </w:footnote>
  <w:footnote w:type="continuationNotice" w:id="1">
    <w:p w14:paraId="0E90589D" w14:textId="77777777" w:rsidR="00810DD1" w:rsidRDefault="00810D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28 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42F2"/>
    <w:rsid w:val="00056E2B"/>
    <w:rsid w:val="000B5552"/>
    <w:rsid w:val="000B6EDA"/>
    <w:rsid w:val="000D195A"/>
    <w:rsid w:val="000D5642"/>
    <w:rsid w:val="00102395"/>
    <w:rsid w:val="00126749"/>
    <w:rsid w:val="001302B7"/>
    <w:rsid w:val="001626D3"/>
    <w:rsid w:val="001836CE"/>
    <w:rsid w:val="001859AD"/>
    <w:rsid w:val="00196884"/>
    <w:rsid w:val="00197AF7"/>
    <w:rsid w:val="001B4084"/>
    <w:rsid w:val="001C6F01"/>
    <w:rsid w:val="001E1719"/>
    <w:rsid w:val="001F15E3"/>
    <w:rsid w:val="001F70CD"/>
    <w:rsid w:val="00217728"/>
    <w:rsid w:val="00221D28"/>
    <w:rsid w:val="00235BD7"/>
    <w:rsid w:val="00277C94"/>
    <w:rsid w:val="00281D35"/>
    <w:rsid w:val="0028630E"/>
    <w:rsid w:val="002868B8"/>
    <w:rsid w:val="002A0D77"/>
    <w:rsid w:val="002A5011"/>
    <w:rsid w:val="002A70B0"/>
    <w:rsid w:val="002D085C"/>
    <w:rsid w:val="0030544B"/>
    <w:rsid w:val="00316985"/>
    <w:rsid w:val="0031737E"/>
    <w:rsid w:val="00322B1B"/>
    <w:rsid w:val="00381FCD"/>
    <w:rsid w:val="003A5DF9"/>
    <w:rsid w:val="003C1003"/>
    <w:rsid w:val="003E4748"/>
    <w:rsid w:val="00431C95"/>
    <w:rsid w:val="004450D2"/>
    <w:rsid w:val="00450CCE"/>
    <w:rsid w:val="0045452A"/>
    <w:rsid w:val="004556D0"/>
    <w:rsid w:val="00473339"/>
    <w:rsid w:val="00493B21"/>
    <w:rsid w:val="004957DC"/>
    <w:rsid w:val="004E2103"/>
    <w:rsid w:val="00505D82"/>
    <w:rsid w:val="00506A8B"/>
    <w:rsid w:val="00512FCC"/>
    <w:rsid w:val="00513185"/>
    <w:rsid w:val="00514CCC"/>
    <w:rsid w:val="005176DD"/>
    <w:rsid w:val="0052389B"/>
    <w:rsid w:val="00531596"/>
    <w:rsid w:val="00567893"/>
    <w:rsid w:val="005A1E34"/>
    <w:rsid w:val="005A26D0"/>
    <w:rsid w:val="005E67BD"/>
    <w:rsid w:val="005F6DEE"/>
    <w:rsid w:val="00600AB7"/>
    <w:rsid w:val="00606BD6"/>
    <w:rsid w:val="0062566F"/>
    <w:rsid w:val="00625B34"/>
    <w:rsid w:val="00670C22"/>
    <w:rsid w:val="0067354A"/>
    <w:rsid w:val="006802B6"/>
    <w:rsid w:val="0069719F"/>
    <w:rsid w:val="006F1ECC"/>
    <w:rsid w:val="006F2EE2"/>
    <w:rsid w:val="006F6778"/>
    <w:rsid w:val="00712C50"/>
    <w:rsid w:val="00755036"/>
    <w:rsid w:val="00775776"/>
    <w:rsid w:val="007B27A0"/>
    <w:rsid w:val="007B6069"/>
    <w:rsid w:val="007B7321"/>
    <w:rsid w:val="007D684C"/>
    <w:rsid w:val="00804FE9"/>
    <w:rsid w:val="00810DD1"/>
    <w:rsid w:val="00814836"/>
    <w:rsid w:val="0084266B"/>
    <w:rsid w:val="00843937"/>
    <w:rsid w:val="00854D67"/>
    <w:rsid w:val="00864CDE"/>
    <w:rsid w:val="00876189"/>
    <w:rsid w:val="0088197F"/>
    <w:rsid w:val="008A14E9"/>
    <w:rsid w:val="008A72AC"/>
    <w:rsid w:val="008A7871"/>
    <w:rsid w:val="008B3B57"/>
    <w:rsid w:val="008E1992"/>
    <w:rsid w:val="008E4DC5"/>
    <w:rsid w:val="0093406D"/>
    <w:rsid w:val="00977E24"/>
    <w:rsid w:val="0098538F"/>
    <w:rsid w:val="009A42B0"/>
    <w:rsid w:val="009A658D"/>
    <w:rsid w:val="009C2896"/>
    <w:rsid w:val="009E47CD"/>
    <w:rsid w:val="009F3B9B"/>
    <w:rsid w:val="00A2152D"/>
    <w:rsid w:val="00A37476"/>
    <w:rsid w:val="00A37789"/>
    <w:rsid w:val="00A6076D"/>
    <w:rsid w:val="00A6308E"/>
    <w:rsid w:val="00A64F8F"/>
    <w:rsid w:val="00A70D5B"/>
    <w:rsid w:val="00A7341D"/>
    <w:rsid w:val="00AC0F7C"/>
    <w:rsid w:val="00B2111F"/>
    <w:rsid w:val="00B26BB5"/>
    <w:rsid w:val="00B273D8"/>
    <w:rsid w:val="00B453B1"/>
    <w:rsid w:val="00BA5CB2"/>
    <w:rsid w:val="00BA7A72"/>
    <w:rsid w:val="00BB284B"/>
    <w:rsid w:val="00BD330A"/>
    <w:rsid w:val="00BF0622"/>
    <w:rsid w:val="00C05107"/>
    <w:rsid w:val="00C25599"/>
    <w:rsid w:val="00C6052E"/>
    <w:rsid w:val="00C9141C"/>
    <w:rsid w:val="00C94735"/>
    <w:rsid w:val="00CA328D"/>
    <w:rsid w:val="00CA3439"/>
    <w:rsid w:val="00CB3AFC"/>
    <w:rsid w:val="00D13E95"/>
    <w:rsid w:val="00D4206B"/>
    <w:rsid w:val="00D513AC"/>
    <w:rsid w:val="00D60B5C"/>
    <w:rsid w:val="00D94B1B"/>
    <w:rsid w:val="00DA3006"/>
    <w:rsid w:val="00DC6677"/>
    <w:rsid w:val="00E1028E"/>
    <w:rsid w:val="00E500C9"/>
    <w:rsid w:val="00E554D8"/>
    <w:rsid w:val="00E574DB"/>
    <w:rsid w:val="00EA503F"/>
    <w:rsid w:val="00EB47BF"/>
    <w:rsid w:val="00EC243A"/>
    <w:rsid w:val="00F0104D"/>
    <w:rsid w:val="00F10166"/>
    <w:rsid w:val="00F14E53"/>
    <w:rsid w:val="00F8485E"/>
    <w:rsid w:val="00F9060C"/>
    <w:rsid w:val="00F9246D"/>
    <w:rsid w:val="00FE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7A08169E-EF49-4E0E-A242-09741E8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ta.pedroli@clp1968.it" TargetMode="External"/><Relationship Id="rId4" Type="http://schemas.openxmlformats.org/officeDocument/2006/relationships/styles" Target="styles.xml"/><Relationship Id="rId9" Type="http://schemas.openxmlformats.org/officeDocument/2006/relationships/hyperlink" Target="mailto:marco.toscano@cultura.gov.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cf0d43500f1d0fb02322f7b7759bc64e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10423bb3dd38f3a73ee39d22e201532c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D734A5-2BF3-4293-AB19-D867F44E2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Ilenia Rubino</cp:lastModifiedBy>
  <cp:revision>5</cp:revision>
  <cp:lastPrinted>2025-10-28T15:39:00Z</cp:lastPrinted>
  <dcterms:created xsi:type="dcterms:W3CDTF">2025-10-14T12:47:00Z</dcterms:created>
  <dcterms:modified xsi:type="dcterms:W3CDTF">2025-10-28T15:44:00Z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