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9B082" w14:textId="32518564" w:rsidR="002A57AC" w:rsidRPr="00654FDA" w:rsidRDefault="00654FDA" w:rsidP="002A57AC">
      <w:pPr>
        <w:spacing w:after="0" w:line="271" w:lineRule="auto"/>
        <w:ind w:right="2296"/>
        <w:rPr>
          <w:rFonts w:ascii="Garamond" w:hAnsi="Garamond"/>
          <w:b/>
          <w:bCs/>
          <w:color w:val="231F20"/>
          <w:u w:color="231F20"/>
        </w:rPr>
      </w:pPr>
      <w:r w:rsidRPr="00654FDA">
        <w:rPr>
          <w:rFonts w:ascii="Garamond" w:hAnsi="Garamond"/>
          <w:b/>
          <w:bCs/>
          <w:color w:val="231F20"/>
          <w:u w:color="231F20"/>
        </w:rPr>
        <w:t>FRANCESCO LIBRIZZI</w:t>
      </w:r>
    </w:p>
    <w:p w14:paraId="42539B27" w14:textId="6B63039A" w:rsidR="005565F6" w:rsidRPr="00654FDA" w:rsidRDefault="00654FDA" w:rsidP="005565F6">
      <w:pPr>
        <w:spacing w:after="0" w:line="271" w:lineRule="auto"/>
        <w:ind w:right="-1"/>
        <w:rPr>
          <w:rFonts w:ascii="Garamond" w:hAnsi="Garamond"/>
          <w:b/>
          <w:bCs/>
          <w:color w:val="231F20"/>
          <w:u w:color="231F20"/>
        </w:rPr>
      </w:pPr>
      <w:r w:rsidRPr="00654FDA">
        <w:rPr>
          <w:rFonts w:ascii="Garamond" w:hAnsi="Garamond"/>
          <w:b/>
          <w:bCs/>
          <w:i/>
          <w:iCs/>
          <w:color w:val="231F20"/>
          <w:u w:color="231F20"/>
        </w:rPr>
        <w:t>Progettista dell’allestimento</w:t>
      </w:r>
    </w:p>
    <w:p w14:paraId="1C73EF2D" w14:textId="77777777" w:rsidR="005565F6" w:rsidRPr="00654FDA" w:rsidRDefault="005565F6" w:rsidP="005565F6">
      <w:pPr>
        <w:spacing w:after="0" w:line="271" w:lineRule="auto"/>
        <w:ind w:right="-1"/>
        <w:rPr>
          <w:rFonts w:ascii="Garamond" w:hAnsi="Garamond"/>
          <w:color w:val="231F20"/>
          <w:sz w:val="22"/>
          <w:szCs w:val="22"/>
          <w:u w:color="231F20"/>
        </w:rPr>
      </w:pPr>
    </w:p>
    <w:p w14:paraId="2C784799" w14:textId="4D892B2A" w:rsidR="00FF16DF" w:rsidRPr="00654FDA" w:rsidRDefault="00654FDA" w:rsidP="00FF16DF">
      <w:pPr>
        <w:spacing w:after="0"/>
        <w:rPr>
          <w:rFonts w:ascii="Garamond" w:hAnsi="Garamond"/>
          <w:b/>
          <w:bCs/>
          <w:i/>
          <w:iCs/>
          <w:color w:val="231F20"/>
          <w:sz w:val="22"/>
          <w:szCs w:val="22"/>
          <w:u w:color="231F20"/>
        </w:rPr>
      </w:pPr>
      <w:r w:rsidRPr="00654FDA">
        <w:rPr>
          <w:rFonts w:ascii="Garamond" w:hAnsi="Garamond"/>
          <w:i/>
          <w:iCs/>
          <w:color w:val="231F20"/>
          <w:u w:color="231F20"/>
        </w:rPr>
        <w:t xml:space="preserve">In </w:t>
      </w:r>
      <w:proofErr w:type="gramStart"/>
      <w:r w:rsidRPr="00654FDA">
        <w:rPr>
          <w:rFonts w:ascii="Garamond" w:hAnsi="Garamond"/>
          <w:i/>
          <w:iCs/>
          <w:color w:val="231F20"/>
          <w:u w:color="231F20"/>
        </w:rPr>
        <w:t>medio</w:t>
      </w:r>
      <w:r w:rsidR="002A57AC" w:rsidRPr="00654FDA">
        <w:rPr>
          <w:rFonts w:ascii="Garamond" w:hAnsi="Garamond"/>
          <w:i/>
          <w:iCs/>
          <w:color w:val="231F20"/>
          <w:u w:color="231F20"/>
        </w:rPr>
        <w:t xml:space="preserve">  </w:t>
      </w:r>
      <w:r w:rsidR="002A57AC" w:rsidRPr="00654FDA">
        <w:rPr>
          <w:rFonts w:ascii="Garamond" w:hAnsi="Garamond"/>
          <w:b/>
          <w:bCs/>
          <w:i/>
          <w:iCs/>
          <w:color w:val="231F20"/>
          <w:u w:color="231F20"/>
        </w:rPr>
        <w:t>*</w:t>
      </w:r>
      <w:proofErr w:type="gramEnd"/>
    </w:p>
    <w:p w14:paraId="4D63A897" w14:textId="77777777" w:rsidR="002A57AC" w:rsidRPr="00654FDA" w:rsidRDefault="002A57AC" w:rsidP="00FF16DF">
      <w:pPr>
        <w:spacing w:after="0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4DD62D40" w14:textId="4C75D84F" w:rsidR="00654FDA" w:rsidRPr="00654FDA" w:rsidRDefault="00654FDA" w:rsidP="00654FDA">
      <w:pPr>
        <w:spacing w:after="120"/>
        <w:jc w:val="both"/>
        <w:rPr>
          <w:rFonts w:ascii="Garamond" w:hAnsi="Garamond"/>
          <w:i/>
          <w:iCs/>
          <w:color w:val="231F20"/>
          <w:sz w:val="22"/>
          <w:szCs w:val="22"/>
          <w:u w:color="231F20"/>
        </w:rPr>
      </w:pPr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>Origine e ritorno di un luogo che è un</w:t>
      </w:r>
      <w:r>
        <w:rPr>
          <w:rFonts w:ascii="Garamond" w:hAnsi="Garamond"/>
          <w:i/>
          <w:iCs/>
          <w:color w:val="231F20"/>
          <w:sz w:val="22"/>
          <w:szCs w:val="22"/>
          <w:u w:color="231F20"/>
        </w:rPr>
        <w:t>’o</w:t>
      </w:r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>pera</w:t>
      </w:r>
    </w:p>
    <w:p w14:paraId="2C92E1EB" w14:textId="6F4054BF" w:rsidR="00654FDA" w:rsidRPr="00654FDA" w:rsidRDefault="00654FDA" w:rsidP="00654FDA">
      <w:pPr>
        <w:spacing w:after="0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Nobu </w:t>
      </w:r>
      <w:proofErr w:type="spellStart"/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>at</w:t>
      </w:r>
      <w:proofErr w:type="spellEnd"/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Elba</w:t>
      </w:r>
      <w:r w:rsidRPr="00654FDA">
        <w:rPr>
          <w:rFonts w:ascii="Garamond" w:hAnsi="Garamond"/>
          <w:color w:val="231F20"/>
          <w:sz w:val="22"/>
          <w:szCs w:val="22"/>
          <w:u w:color="231F20"/>
        </w:rPr>
        <w:t xml:space="preserve"> nasce vent</w:t>
      </w:r>
      <w:r>
        <w:rPr>
          <w:rFonts w:ascii="Garamond" w:hAnsi="Garamond"/>
          <w:color w:val="231F20"/>
          <w:sz w:val="22"/>
          <w:szCs w:val="22"/>
          <w:u w:color="231F20"/>
        </w:rPr>
        <w:t>’</w:t>
      </w:r>
      <w:r w:rsidRPr="00654FDA">
        <w:rPr>
          <w:rFonts w:ascii="Garamond" w:hAnsi="Garamond"/>
          <w:color w:val="231F20"/>
          <w:sz w:val="22"/>
          <w:szCs w:val="22"/>
          <w:u w:color="231F20"/>
        </w:rPr>
        <w:t xml:space="preserve">anni fa dall’intesa creativa tra Giovanni Frangi e Giovanni Agosti. Un artista e un curatore immaginano insieme un ambiente immersivo, una stanza che non si limita a ospitare quadri ma che è integralmente pittura, paesaggio, esperienza. Pensata come opera </w:t>
      </w:r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>site</w:t>
      </w:r>
      <w:r w:rsidRPr="00654FDA">
        <w:rPr>
          <w:rFonts w:ascii="Garamond" w:hAnsi="Garamond"/>
          <w:color w:val="231F20"/>
          <w:sz w:val="22"/>
          <w:szCs w:val="22"/>
          <w:u w:color="231F20"/>
        </w:rPr>
        <w:t>-</w:t>
      </w:r>
      <w:proofErr w:type="spellStart"/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>specific</w:t>
      </w:r>
      <w:proofErr w:type="spellEnd"/>
      <w:r w:rsidRPr="00654FDA">
        <w:rPr>
          <w:rFonts w:ascii="Garamond" w:hAnsi="Garamond"/>
          <w:color w:val="231F20"/>
          <w:sz w:val="22"/>
          <w:szCs w:val="22"/>
          <w:u w:color="231F20"/>
        </w:rPr>
        <w:t xml:space="preserve"> per la Scuderia Grande di Villa Panza, l</w:t>
      </w:r>
      <w:r w:rsidRPr="00654FDA">
        <w:rPr>
          <w:rFonts w:ascii="Garamond" w:hAnsi="Garamond"/>
          <w:color w:val="231F20"/>
          <w:sz w:val="22"/>
          <w:szCs w:val="22"/>
          <w:u w:color="231F20"/>
          <w:rtl/>
        </w:rPr>
        <w:t>’</w:t>
      </w:r>
      <w:r w:rsidRPr="00654FDA">
        <w:rPr>
          <w:rFonts w:ascii="Garamond" w:hAnsi="Garamond"/>
          <w:color w:val="231F20"/>
          <w:sz w:val="22"/>
          <w:szCs w:val="22"/>
          <w:u w:color="231F20"/>
        </w:rPr>
        <w:t>opera era già in origine capace di evocare uno spazio autonomo in un contesto storico e percettivo già carico di presenze. Vent’anni dopo, si immagina una nuova apparizione: la Sala Stirling di Palazzo Citterio, a Brera. Nessuna stanza resta uguale quando cambia la casa che la accoglie. Ritornare è trasformarsi. Se Villa Panza offriva con lo spazio delle scuderie una naturale autonomia all’opera, la Sala Stirling si impone. Nella sua geometria di cemento, lo spazio è significativamente influenzato da una colonna monumentale che divide e misura. Una sala che non concede neutralità. Il passato incontra un presente architettonico potente. In questo incrocio, il progettista è chiamato a rendere di nuovo attuale un’opera d’arte: né restauro, né replica. Un nuovo atto di nascita.</w:t>
      </w:r>
    </w:p>
    <w:p w14:paraId="7A47FD5E" w14:textId="77777777" w:rsidR="00654FDA" w:rsidRPr="00654FDA" w:rsidRDefault="00654FDA" w:rsidP="00654FDA">
      <w:pPr>
        <w:spacing w:after="0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19F1BCE8" w14:textId="77777777" w:rsidR="00654FDA" w:rsidRPr="00654FDA" w:rsidRDefault="00654FDA" w:rsidP="00654FDA">
      <w:pPr>
        <w:spacing w:after="120"/>
        <w:jc w:val="both"/>
        <w:rPr>
          <w:rFonts w:ascii="Garamond" w:hAnsi="Garamond"/>
          <w:i/>
          <w:iCs/>
          <w:color w:val="231F20"/>
          <w:sz w:val="22"/>
          <w:szCs w:val="22"/>
          <w:u w:color="231F20"/>
        </w:rPr>
      </w:pPr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>Una doppia triade creativa</w:t>
      </w:r>
    </w:p>
    <w:p w14:paraId="69E8BD29" w14:textId="64199BC3" w:rsidR="00654FDA" w:rsidRPr="00654FDA" w:rsidRDefault="00654FDA" w:rsidP="00654FDA">
      <w:pPr>
        <w:spacing w:after="0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654FDA">
        <w:rPr>
          <w:rFonts w:ascii="Garamond" w:hAnsi="Garamond"/>
          <w:color w:val="231F20"/>
          <w:sz w:val="22"/>
          <w:szCs w:val="22"/>
          <w:u w:color="231F20"/>
        </w:rPr>
        <w:t>N</w:t>
      </w:r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obu </w:t>
      </w:r>
      <w:proofErr w:type="spellStart"/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>at</w:t>
      </w:r>
      <w:proofErr w:type="spellEnd"/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Elba</w:t>
      </w:r>
      <w:r w:rsidRPr="00654FDA">
        <w:rPr>
          <w:rFonts w:ascii="Garamond" w:hAnsi="Garamond"/>
          <w:color w:val="231F20"/>
          <w:sz w:val="22"/>
          <w:szCs w:val="22"/>
          <w:u w:color="231F20"/>
        </w:rPr>
        <w:t xml:space="preserve"> è il frutto di una coppia creativa. Il progettista di allestimento non esisteva come figura autoriale nella sua prima configurazione. Con </w:t>
      </w:r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Nobu </w:t>
      </w:r>
      <w:proofErr w:type="spellStart"/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>at</w:t>
      </w:r>
      <w:proofErr w:type="spellEnd"/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Elba </w:t>
      </w:r>
      <w:proofErr w:type="spellStart"/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>Redux</w:t>
      </w:r>
      <w:proofErr w:type="spellEnd"/>
      <w:r w:rsidRPr="00654FDA">
        <w:rPr>
          <w:rFonts w:ascii="Garamond" w:hAnsi="Garamond"/>
          <w:color w:val="231F20"/>
          <w:sz w:val="22"/>
          <w:szCs w:val="22"/>
          <w:u w:color="231F20"/>
        </w:rPr>
        <w:t>, la relazione cambia forma. L</w:t>
      </w:r>
      <w:r w:rsidRPr="00654FDA">
        <w:rPr>
          <w:rFonts w:ascii="Garamond" w:hAnsi="Garamond"/>
          <w:color w:val="231F20"/>
          <w:sz w:val="22"/>
          <w:szCs w:val="22"/>
          <w:u w:color="231F20"/>
          <w:rtl/>
        </w:rPr>
        <w:t>’</w:t>
      </w:r>
      <w:r w:rsidRPr="00654FDA">
        <w:rPr>
          <w:rFonts w:ascii="Garamond" w:hAnsi="Garamond"/>
          <w:color w:val="231F20"/>
          <w:sz w:val="22"/>
          <w:szCs w:val="22"/>
          <w:u w:color="231F20"/>
        </w:rPr>
        <w:t xml:space="preserve">opera deve essere ripensata, non “rimontata”. Il progettista entra nella relazione artista–curatore non come intermediario tecnico, ma come terzo agente di senso. Il suo compito non è custodire il passato, ma creare le condizioni per un nuovo presente dell’opera. Il progettista deve dare corpo a una grande mediazione. Qui, la teoria di Thomas Ogden illumina ciò che accade: tra due soggettività può emergere un Terzo che non appartiene a nessuno dei due, ma trasforma entrambi. Autore, Curatore, Progettista. Il Terzo nasce nella relazione, e genera un nuovo luogo potenziale in cui si ridefiniscono i creatori e l’opera. L’allestimento è la chiave di un campo relazionale in cui </w:t>
      </w:r>
      <w:r>
        <w:rPr>
          <w:rFonts w:ascii="Garamond" w:hAnsi="Garamond"/>
          <w:color w:val="231F20"/>
          <w:sz w:val="22"/>
          <w:szCs w:val="22"/>
          <w:u w:color="231F20"/>
        </w:rPr>
        <w:t>l’</w:t>
      </w:r>
      <w:r w:rsidRPr="00654FDA">
        <w:rPr>
          <w:rFonts w:ascii="Garamond" w:hAnsi="Garamond"/>
          <w:color w:val="231F20"/>
          <w:sz w:val="22"/>
          <w:szCs w:val="22"/>
          <w:u w:color="231F20"/>
        </w:rPr>
        <w:t>esperienza trova nuovi confini. La nuova vita del</w:t>
      </w:r>
      <w:r>
        <w:rPr>
          <w:rFonts w:ascii="Garamond" w:hAnsi="Garamond"/>
          <w:color w:val="231F20"/>
          <w:sz w:val="22"/>
          <w:szCs w:val="22"/>
          <w:u w:color="231F20"/>
        </w:rPr>
        <w:t>l’o</w:t>
      </w:r>
      <w:r w:rsidRPr="00654FDA">
        <w:rPr>
          <w:rFonts w:ascii="Garamond" w:hAnsi="Garamond"/>
          <w:color w:val="231F20"/>
          <w:sz w:val="22"/>
          <w:szCs w:val="22"/>
          <w:u w:color="231F20"/>
        </w:rPr>
        <w:t xml:space="preserve">pera nasce nello spazio dell’interazione tra tutte le parti. Ciò che ritorna, per questo, non è mai identico a ciò che era stato. La Sala Stirling non è neutra. È un soggetto che guarda, misura, condiziona. Il cemento a vista, il volume, la colonna centrale: tutto è influenzato da una gerarchia latente. Proprio ciò richiede un ribaltamento delle posizioni. Una ulteriore triade creativa: Architettura, Progettista, Opera. </w:t>
      </w:r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Nobu </w:t>
      </w:r>
      <w:proofErr w:type="spellStart"/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>at</w:t>
      </w:r>
      <w:proofErr w:type="spellEnd"/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Elba</w:t>
      </w:r>
      <w:r w:rsidRPr="00654FDA">
        <w:rPr>
          <w:rFonts w:ascii="Garamond" w:hAnsi="Garamond"/>
          <w:color w:val="231F20"/>
          <w:sz w:val="22"/>
          <w:szCs w:val="22"/>
          <w:u w:color="231F20"/>
        </w:rPr>
        <w:t xml:space="preserve"> non è soltanto esposta in una sala, ma deve diventare il Terzo tra il progettista dell’allestimento e lo spazio progettato da Stirling. Il confronto con l</w:t>
      </w:r>
      <w:r w:rsidRPr="00654FDA">
        <w:rPr>
          <w:rFonts w:ascii="Garamond" w:hAnsi="Garamond"/>
          <w:color w:val="231F20"/>
          <w:sz w:val="22"/>
          <w:szCs w:val="22"/>
          <w:u w:color="231F20"/>
          <w:rtl/>
        </w:rPr>
        <w:t>’</w:t>
      </w:r>
      <w:r w:rsidRPr="00654FDA">
        <w:rPr>
          <w:rFonts w:ascii="Garamond" w:hAnsi="Garamond"/>
          <w:color w:val="231F20"/>
          <w:sz w:val="22"/>
          <w:szCs w:val="22"/>
          <w:u w:color="231F20"/>
        </w:rPr>
        <w:t>architettura deve avvenire attraverso l’opera stessa. È lei che apre una trattativa: chiede isolamento, ma anche relazione; pretende attenzione, ma non sovraesposizione; vuole esistere per sé, ma anche in tensione con il luogo. È una triangolazione dove ciascuno cambia l</w:t>
      </w:r>
      <w:r w:rsidRPr="00654FDA">
        <w:rPr>
          <w:rFonts w:ascii="Garamond" w:hAnsi="Garamond"/>
          <w:color w:val="231F20"/>
          <w:sz w:val="22"/>
          <w:szCs w:val="22"/>
          <w:u w:color="231F20"/>
          <w:rtl/>
        </w:rPr>
        <w:t>’</w:t>
      </w:r>
      <w:r w:rsidRPr="00654FDA">
        <w:rPr>
          <w:rFonts w:ascii="Garamond" w:hAnsi="Garamond"/>
          <w:color w:val="231F20"/>
          <w:sz w:val="22"/>
          <w:szCs w:val="22"/>
          <w:u w:color="231F20"/>
        </w:rPr>
        <w:t>altro. L’opera rinasce e così facendo muta e svela i limiti e la vocazione dello spazio architettonico. Uno spazio impossibile, che ha bisogno di confrontarsi con l’arte per essere messo in discussione, rivelato. La sala si addomestica ma non perde potenza. L’allestimento è una capsula permeabile. Un interno in un interno. Uno spazio che protegge senza recidere il rapporto con il mondo. Una pelle di separazione e il campo di incontro. L’opera si inserisce nella sala rispettandola, ma senza sottomettersi. La colonna resta percepibile; la luce rimane autonoma nei due interni; la struttura diventa una soglia oltre la quale il pubblico cambia stato. Non è mimetismo. Non è opposizione. È relazione.</w:t>
      </w:r>
    </w:p>
    <w:p w14:paraId="20ADC688" w14:textId="77777777" w:rsidR="00654FDA" w:rsidRPr="00654FDA" w:rsidRDefault="00654FDA" w:rsidP="00654FDA">
      <w:pPr>
        <w:spacing w:after="0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45A613D1" w14:textId="77777777" w:rsidR="00654FDA" w:rsidRPr="00654FDA" w:rsidRDefault="00654FDA" w:rsidP="00654FDA">
      <w:pPr>
        <w:spacing w:after="120"/>
        <w:jc w:val="both"/>
        <w:rPr>
          <w:rFonts w:ascii="Garamond" w:hAnsi="Garamond"/>
          <w:i/>
          <w:iCs/>
          <w:color w:val="231F20"/>
          <w:sz w:val="22"/>
          <w:szCs w:val="22"/>
          <w:u w:color="231F20"/>
        </w:rPr>
      </w:pPr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>Apparizioni</w:t>
      </w:r>
    </w:p>
    <w:p w14:paraId="7E7E1041" w14:textId="3406C78B" w:rsidR="00654FDA" w:rsidRPr="00654FDA" w:rsidRDefault="00654FDA" w:rsidP="00654FDA">
      <w:pPr>
        <w:spacing w:after="0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654FDA">
        <w:rPr>
          <w:rFonts w:ascii="Garamond" w:hAnsi="Garamond"/>
          <w:color w:val="231F20"/>
          <w:sz w:val="22"/>
          <w:szCs w:val="22"/>
          <w:u w:color="231F20"/>
        </w:rPr>
        <w:t xml:space="preserve">Con </w:t>
      </w:r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Nobu </w:t>
      </w:r>
      <w:proofErr w:type="spellStart"/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>at</w:t>
      </w:r>
      <w:proofErr w:type="spellEnd"/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Elba </w:t>
      </w:r>
      <w:proofErr w:type="spellStart"/>
      <w:r w:rsidRPr="00654FDA">
        <w:rPr>
          <w:rFonts w:ascii="Garamond" w:hAnsi="Garamond"/>
          <w:i/>
          <w:iCs/>
          <w:color w:val="231F20"/>
          <w:sz w:val="22"/>
          <w:szCs w:val="22"/>
          <w:u w:color="231F20"/>
        </w:rPr>
        <w:t>Redux</w:t>
      </w:r>
      <w:proofErr w:type="spellEnd"/>
      <w:r w:rsidRPr="00654FDA">
        <w:rPr>
          <w:rFonts w:ascii="Garamond" w:hAnsi="Garamond"/>
          <w:color w:val="231F20"/>
          <w:sz w:val="22"/>
          <w:szCs w:val="22"/>
          <w:u w:color="231F20"/>
        </w:rPr>
        <w:t>, l’opera non è stata semplicemente reinstallata, ma rimessa al mondo. La relazione Agosti–Frangi oggi si prolunga nel progettista dell’allestimento e attraverso di lui, nella Sala Stirling. È nato un sistema di soggettività più ampio. Una scena triadica in cui l’opera non è oggetto ma soggetto, l’architettura non è contenitore ma presenza, il progetto non è cornice ma relazione. Tre soggetti vivi che si producono a vicenda. La stanza che ritorna non è più quella di ieri.</w:t>
      </w:r>
    </w:p>
    <w:p w14:paraId="0BF31E80" w14:textId="48E80695" w:rsidR="00FF16DF" w:rsidRPr="00654FDA" w:rsidRDefault="00654FDA" w:rsidP="00654FDA">
      <w:pPr>
        <w:spacing w:after="0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654FDA">
        <w:rPr>
          <w:rFonts w:ascii="Garamond" w:hAnsi="Garamond"/>
          <w:color w:val="231F20"/>
          <w:sz w:val="22"/>
          <w:szCs w:val="22"/>
          <w:u w:color="231F20"/>
        </w:rPr>
        <w:t>Come tutte le creature che ritornano, porta con sé una memoria diversa, un altro pubblico, un’altra possibilità.</w:t>
      </w:r>
    </w:p>
    <w:p w14:paraId="1A8E68B0" w14:textId="77777777" w:rsidR="00654FDA" w:rsidRPr="00654FDA" w:rsidRDefault="00654FDA" w:rsidP="00654FDA">
      <w:pPr>
        <w:spacing w:after="0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74187DC3" w14:textId="54ADB07F" w:rsidR="00FF16DF" w:rsidRPr="00654FDA" w:rsidRDefault="00FF16DF" w:rsidP="00FF16DF">
      <w:pPr>
        <w:spacing w:after="0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654FDA">
        <w:rPr>
          <w:rFonts w:ascii="Garamond" w:hAnsi="Garamond"/>
          <w:color w:val="231F20"/>
          <w:sz w:val="22"/>
          <w:szCs w:val="22"/>
          <w:u w:color="231F20"/>
        </w:rPr>
        <w:t>Milano, 29 ottobre 2025</w:t>
      </w:r>
    </w:p>
    <w:p w14:paraId="0BCAC911" w14:textId="77777777" w:rsidR="002A57AC" w:rsidRPr="00654FDA" w:rsidRDefault="002A57AC" w:rsidP="00FF16DF">
      <w:pPr>
        <w:spacing w:after="0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255B4D2D" w14:textId="5B2ECDB4" w:rsidR="002A57AC" w:rsidRPr="002A57AC" w:rsidRDefault="002A57AC" w:rsidP="002A57AC">
      <w:pPr>
        <w:spacing w:after="0"/>
        <w:jc w:val="both"/>
        <w:rPr>
          <w:rFonts w:ascii="Garamond" w:hAnsi="Garamond"/>
          <w:b/>
          <w:bCs/>
          <w:color w:val="231F20"/>
          <w:sz w:val="22"/>
          <w:szCs w:val="22"/>
          <w:u w:color="231F20"/>
        </w:rPr>
      </w:pPr>
      <w:r w:rsidRPr="00654FDA">
        <w:rPr>
          <w:rFonts w:ascii="Garamond" w:hAnsi="Garamond"/>
          <w:b/>
          <w:bCs/>
          <w:color w:val="231F20"/>
          <w:sz w:val="22"/>
          <w:szCs w:val="22"/>
          <w:u w:color="231F20"/>
        </w:rPr>
        <w:t xml:space="preserve">* Estratto dal testo in catalogo </w:t>
      </w:r>
    </w:p>
    <w:sectPr w:rsidR="002A57AC" w:rsidRPr="002A57AC">
      <w:headerReference w:type="default" r:id="rId10"/>
      <w:headerReference w:type="first" r:id="rId11"/>
      <w:footerReference w:type="first" r:id="rId12"/>
      <w:pgSz w:w="11900" w:h="16840"/>
      <w:pgMar w:top="2552" w:right="1134" w:bottom="1848" w:left="396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39606" w14:textId="77777777" w:rsidR="001D3F44" w:rsidRPr="00654FDA" w:rsidRDefault="001D3F44">
      <w:pPr>
        <w:spacing w:after="0" w:line="240" w:lineRule="auto"/>
      </w:pPr>
      <w:r w:rsidRPr="00654FDA">
        <w:separator/>
      </w:r>
    </w:p>
  </w:endnote>
  <w:endnote w:type="continuationSeparator" w:id="0">
    <w:p w14:paraId="39831B84" w14:textId="77777777" w:rsidR="001D3F44" w:rsidRPr="00654FDA" w:rsidRDefault="001D3F44">
      <w:pPr>
        <w:spacing w:after="0" w:line="240" w:lineRule="auto"/>
      </w:pPr>
      <w:r w:rsidRPr="00654FDA">
        <w:continuationSeparator/>
      </w:r>
    </w:p>
  </w:endnote>
  <w:endnote w:type="continuationNotice" w:id="1">
    <w:p w14:paraId="64975B41" w14:textId="77777777" w:rsidR="001D3F44" w:rsidRPr="00654FDA" w:rsidRDefault="001D3F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04C0E" w14:textId="77777777" w:rsidR="000B6EDA" w:rsidRPr="00654FDA" w:rsidRDefault="000B6EDA">
    <w:pPr>
      <w:pStyle w:val="Footer"/>
      <w:tabs>
        <w:tab w:val="clear" w:pos="9638"/>
        <w:tab w:val="right" w:pos="677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5AE50" w14:textId="77777777" w:rsidR="001D3F44" w:rsidRPr="00654FDA" w:rsidRDefault="001D3F44">
      <w:pPr>
        <w:spacing w:after="0" w:line="240" w:lineRule="auto"/>
      </w:pPr>
      <w:r w:rsidRPr="00654FDA">
        <w:separator/>
      </w:r>
    </w:p>
  </w:footnote>
  <w:footnote w:type="continuationSeparator" w:id="0">
    <w:p w14:paraId="5FBA344F" w14:textId="77777777" w:rsidR="001D3F44" w:rsidRPr="00654FDA" w:rsidRDefault="001D3F44">
      <w:pPr>
        <w:spacing w:after="0" w:line="240" w:lineRule="auto"/>
      </w:pPr>
      <w:r w:rsidRPr="00654FDA">
        <w:continuationSeparator/>
      </w:r>
    </w:p>
  </w:footnote>
  <w:footnote w:type="continuationNotice" w:id="1">
    <w:p w14:paraId="0E90589D" w14:textId="77777777" w:rsidR="001D3F44" w:rsidRPr="00654FDA" w:rsidRDefault="001D3F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6AC4" w14:textId="77777777" w:rsidR="000B6EDA" w:rsidRPr="00654FDA" w:rsidRDefault="009A42B0">
    <w:pPr>
      <w:pStyle w:val="Header"/>
      <w:tabs>
        <w:tab w:val="clear" w:pos="9638"/>
        <w:tab w:val="right" w:pos="6777"/>
      </w:tabs>
    </w:pPr>
    <w:r w:rsidRPr="00654FDA">
      <w:rPr>
        <w:noProof/>
      </w:rPr>
      <w:drawing>
        <wp:anchor distT="152400" distB="152400" distL="152400" distR="152400" simplePos="0" relativeHeight="251658240" behindDoc="1" locked="0" layoutInCell="1" allowOverlap="1" wp14:anchorId="4CAB8049" wp14:editId="6A653D9E">
          <wp:simplePos x="0" y="0"/>
          <wp:positionH relativeFrom="page">
            <wp:posOffset>3809</wp:posOffset>
          </wp:positionH>
          <wp:positionV relativeFrom="page">
            <wp:posOffset>0</wp:posOffset>
          </wp:positionV>
          <wp:extent cx="2160000" cy="2703600"/>
          <wp:effectExtent l="0" t="0" r="0" b="0"/>
          <wp:wrapNone/>
          <wp:docPr id="1073741825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3C2F2" w14:textId="77777777" w:rsidR="000B6EDA" w:rsidRPr="00654FDA" w:rsidRDefault="009A42B0">
    <w:pPr>
      <w:pStyle w:val="Header"/>
      <w:tabs>
        <w:tab w:val="clear" w:pos="9638"/>
        <w:tab w:val="right" w:pos="6777"/>
      </w:tabs>
    </w:pPr>
    <w:r w:rsidRPr="00654FDA">
      <w:rPr>
        <w:noProof/>
      </w:rPr>
      <w:drawing>
        <wp:anchor distT="152400" distB="152400" distL="152400" distR="152400" simplePos="0" relativeHeight="251658241" behindDoc="1" locked="0" layoutInCell="1" allowOverlap="1" wp14:anchorId="48F9D314" wp14:editId="332389B2">
          <wp:simplePos x="0" y="0"/>
          <wp:positionH relativeFrom="page">
            <wp:posOffset>1994</wp:posOffset>
          </wp:positionH>
          <wp:positionV relativeFrom="page">
            <wp:posOffset>91</wp:posOffset>
          </wp:positionV>
          <wp:extent cx="2160000" cy="2703600"/>
          <wp:effectExtent l="0" t="0" r="0" b="0"/>
          <wp:wrapNone/>
          <wp:docPr id="1073741826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Pr="00654FDA">
      <w:rPr>
        <w:noProof/>
      </w:rPr>
      <w:drawing>
        <wp:anchor distT="152400" distB="152400" distL="152400" distR="152400" simplePos="0" relativeHeight="251658242" behindDoc="1" locked="0" layoutInCell="1" allowOverlap="1" wp14:anchorId="75664CEC" wp14:editId="70A20313">
          <wp:simplePos x="0" y="0"/>
          <wp:positionH relativeFrom="page">
            <wp:posOffset>5753627</wp:posOffset>
          </wp:positionH>
          <wp:positionV relativeFrom="page">
            <wp:posOffset>9731375</wp:posOffset>
          </wp:positionV>
          <wp:extent cx="1789200" cy="903600"/>
          <wp:effectExtent l="0" t="0" r="0" b="0"/>
          <wp:wrapNone/>
          <wp:docPr id="1073741827" name="officeArt object" descr="Immagine che contiene testo, Carattere, Elementi grafici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che contiene testo, Carattere, Elementi grafici, designDescrizione generata automaticamente" descr="Immagine che contiene testo, Carattere, Elementi grafici, designDescrizione generata automaticament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89200" cy="9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Pr="00654FDA">
      <w:rPr>
        <w:noProof/>
      </w:rPr>
      <mc:AlternateContent>
        <mc:Choice Requires="wps">
          <w:drawing>
            <wp:anchor distT="152400" distB="152400" distL="152400" distR="152400" simplePos="0" relativeHeight="251658243" behindDoc="1" locked="0" layoutInCell="1" allowOverlap="1" wp14:anchorId="125CEE29" wp14:editId="122950EC">
              <wp:simplePos x="0" y="0"/>
              <wp:positionH relativeFrom="page">
                <wp:posOffset>799650</wp:posOffset>
              </wp:positionH>
              <wp:positionV relativeFrom="page">
                <wp:posOffset>9688830</wp:posOffset>
              </wp:positionV>
              <wp:extent cx="1463784" cy="609600"/>
              <wp:effectExtent l="0" t="0" r="0" b="0"/>
              <wp:wrapNone/>
              <wp:docPr id="1073741828" name="officeArt object" descr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784" cy="609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6121FC9" w14:textId="5E14335A" w:rsidR="000B6EDA" w:rsidRPr="00654F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 w:rsidRPr="00654FDA"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Via Brera </w:t>
                          </w:r>
                          <w:r w:rsidR="0084266B" w:rsidRPr="00654FDA"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28 </w:t>
                          </w:r>
                          <w:proofErr w:type="gramStart"/>
                          <w:r w:rsidR="0084266B" w:rsidRPr="00654FDA"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>|</w:t>
                          </w:r>
                          <w:r w:rsidRPr="00654FDA"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  20121</w:t>
                          </w:r>
                          <w:proofErr w:type="gramEnd"/>
                          <w:r w:rsidRPr="00654FDA"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 Milano</w:t>
                          </w:r>
                        </w:p>
                        <w:p w14:paraId="105A48C0" w14:textId="77777777" w:rsidR="000B6EDA" w:rsidRPr="00654F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 w:rsidRPr="00654FDA"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+39 02 72105 141 </w:t>
                          </w:r>
                        </w:p>
                        <w:p w14:paraId="72A5A259" w14:textId="77777777" w:rsidR="000B6EDA" w:rsidRPr="00654FDA" w:rsidRDefault="009A42B0">
                          <w:pPr>
                            <w:spacing w:after="0" w:line="220" w:lineRule="exact"/>
                            <w:rPr>
                              <w:rStyle w:val="Hyperlink0"/>
                            </w:rPr>
                          </w:pPr>
                          <w:hyperlink r:id="rId3" w:history="1">
                            <w:r w:rsidRPr="00654FDA">
                              <w:rPr>
                                <w:rStyle w:val="Hyperlink0"/>
                              </w:rPr>
                              <w:t>pin-br@cultura.gov.it</w:t>
                            </w:r>
                          </w:hyperlink>
                        </w:p>
                        <w:p w14:paraId="57521DCD" w14:textId="77777777" w:rsidR="000B6EDA" w:rsidRPr="00654FDA" w:rsidRDefault="009A42B0">
                          <w:pPr>
                            <w:spacing w:after="0" w:line="220" w:lineRule="exact"/>
                          </w:pPr>
                          <w:r w:rsidRPr="00654FDA"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</w:rPr>
                            <w:t>grandebrera.org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5CEE2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Casella di testo 3" style="position:absolute;margin-left:62.95pt;margin-top:762.9pt;width:115.25pt;height:48pt;z-index:-251658237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" filled="f" stroked="f" strokeweight="1pt">
              <v:stroke miterlimit="4"/>
              <v:textbox inset="0,0,0,0">
                <w:txbxContent>
                  <w:p w14:paraId="56121FC9" w14:textId="5E14335A" w:rsidR="000B6EDA" w:rsidRPr="00654F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 w:rsidRPr="00654FDA">
                      <w:rPr>
                        <w:rFonts w:ascii="Arial" w:hAnsi="Arial"/>
                        <w:sz w:val="15"/>
                        <w:szCs w:val="15"/>
                      </w:rPr>
                      <w:t xml:space="preserve">Via Brera </w:t>
                    </w:r>
                    <w:r w:rsidR="0084266B" w:rsidRPr="00654FDA">
                      <w:rPr>
                        <w:rFonts w:ascii="Arial" w:hAnsi="Arial"/>
                        <w:sz w:val="15"/>
                        <w:szCs w:val="15"/>
                      </w:rPr>
                      <w:t xml:space="preserve">28 </w:t>
                    </w:r>
                    <w:proofErr w:type="gramStart"/>
                    <w:r w:rsidR="0084266B" w:rsidRPr="00654FDA">
                      <w:rPr>
                        <w:rFonts w:ascii="Arial" w:hAnsi="Arial"/>
                        <w:sz w:val="15"/>
                        <w:szCs w:val="15"/>
                      </w:rPr>
                      <w:t>|</w:t>
                    </w:r>
                    <w:r w:rsidRPr="00654FDA">
                      <w:rPr>
                        <w:rFonts w:ascii="Arial" w:hAnsi="Arial"/>
                        <w:sz w:val="15"/>
                        <w:szCs w:val="15"/>
                      </w:rPr>
                      <w:t xml:space="preserve">  20121</w:t>
                    </w:r>
                    <w:proofErr w:type="gramEnd"/>
                    <w:r w:rsidRPr="00654FDA">
                      <w:rPr>
                        <w:rFonts w:ascii="Arial" w:hAnsi="Arial"/>
                        <w:sz w:val="15"/>
                        <w:szCs w:val="15"/>
                      </w:rPr>
                      <w:t xml:space="preserve"> Milano</w:t>
                    </w:r>
                  </w:p>
                  <w:p w14:paraId="105A48C0" w14:textId="77777777" w:rsidR="000B6EDA" w:rsidRPr="00654F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 w:rsidRPr="00654FDA">
                      <w:rPr>
                        <w:rFonts w:ascii="Arial" w:hAnsi="Arial"/>
                        <w:sz w:val="15"/>
                        <w:szCs w:val="15"/>
                      </w:rPr>
                      <w:t xml:space="preserve">+39 02 72105 141 </w:t>
                    </w:r>
                  </w:p>
                  <w:p w14:paraId="72A5A259" w14:textId="77777777" w:rsidR="000B6EDA" w:rsidRPr="00654FDA" w:rsidRDefault="009A42B0">
                    <w:pPr>
                      <w:spacing w:after="0" w:line="220" w:lineRule="exact"/>
                      <w:rPr>
                        <w:rStyle w:val="Hyperlink0"/>
                      </w:rPr>
                    </w:pPr>
                    <w:hyperlink r:id="rId4" w:history="1">
                      <w:r w:rsidRPr="00654FDA">
                        <w:rPr>
                          <w:rStyle w:val="Hyperlink0"/>
                        </w:rPr>
                        <w:t>pin-br@cultura.gov.it</w:t>
                      </w:r>
                    </w:hyperlink>
                  </w:p>
                  <w:p w14:paraId="57521DCD" w14:textId="77777777" w:rsidR="000B6EDA" w:rsidRPr="00654FDA" w:rsidRDefault="009A42B0">
                    <w:pPr>
                      <w:spacing w:after="0" w:line="220" w:lineRule="exact"/>
                    </w:pPr>
                    <w:r w:rsidRPr="00654FDA">
                      <w:rPr>
                        <w:rFonts w:ascii="Arial" w:hAnsi="Arial"/>
                        <w:b/>
                        <w:bCs/>
                        <w:sz w:val="15"/>
                        <w:szCs w:val="15"/>
                      </w:rPr>
                      <w:t>grandebrera.org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684A9D"/>
    <w:multiLevelType w:val="hybridMultilevel"/>
    <w:tmpl w:val="6AC6B112"/>
    <w:lvl w:ilvl="0" w:tplc="59629EEC">
      <w:numFmt w:val="bullet"/>
      <w:lvlText w:val=""/>
      <w:lvlJc w:val="left"/>
      <w:pPr>
        <w:ind w:left="720" w:hanging="360"/>
      </w:pPr>
      <w:rPr>
        <w:rFonts w:ascii="Symbol" w:eastAsia="Aptos" w:hAnsi="Symbol" w:cs="Apto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950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A"/>
    <w:rsid w:val="00003601"/>
    <w:rsid w:val="00026FAD"/>
    <w:rsid w:val="000542F2"/>
    <w:rsid w:val="00056E2B"/>
    <w:rsid w:val="000B2E1B"/>
    <w:rsid w:val="000B5552"/>
    <w:rsid w:val="000B6EDA"/>
    <w:rsid w:val="000D195A"/>
    <w:rsid w:val="000D5642"/>
    <w:rsid w:val="00102395"/>
    <w:rsid w:val="00126749"/>
    <w:rsid w:val="001302B7"/>
    <w:rsid w:val="001626D3"/>
    <w:rsid w:val="001836CE"/>
    <w:rsid w:val="001859AD"/>
    <w:rsid w:val="00196884"/>
    <w:rsid w:val="00197AF7"/>
    <w:rsid w:val="001B4084"/>
    <w:rsid w:val="001C0542"/>
    <w:rsid w:val="001C6F01"/>
    <w:rsid w:val="001D3F44"/>
    <w:rsid w:val="001E1719"/>
    <w:rsid w:val="001F15E3"/>
    <w:rsid w:val="001F70CD"/>
    <w:rsid w:val="00217728"/>
    <w:rsid w:val="00221D28"/>
    <w:rsid w:val="00235BD7"/>
    <w:rsid w:val="00277C94"/>
    <w:rsid w:val="00281D35"/>
    <w:rsid w:val="0028630E"/>
    <w:rsid w:val="002868B8"/>
    <w:rsid w:val="002A0D77"/>
    <w:rsid w:val="002A5011"/>
    <w:rsid w:val="002A57AC"/>
    <w:rsid w:val="002A70B0"/>
    <w:rsid w:val="002D085C"/>
    <w:rsid w:val="002D764B"/>
    <w:rsid w:val="0030544B"/>
    <w:rsid w:val="00316985"/>
    <w:rsid w:val="0031737E"/>
    <w:rsid w:val="00322B1B"/>
    <w:rsid w:val="00381FCD"/>
    <w:rsid w:val="003A5DF9"/>
    <w:rsid w:val="003C1003"/>
    <w:rsid w:val="003E4748"/>
    <w:rsid w:val="00431C95"/>
    <w:rsid w:val="004450D2"/>
    <w:rsid w:val="00450CCE"/>
    <w:rsid w:val="0045452A"/>
    <w:rsid w:val="004556D0"/>
    <w:rsid w:val="00473339"/>
    <w:rsid w:val="00493B21"/>
    <w:rsid w:val="004957DC"/>
    <w:rsid w:val="004E2103"/>
    <w:rsid w:val="00505D82"/>
    <w:rsid w:val="00506A8B"/>
    <w:rsid w:val="00512FCC"/>
    <w:rsid w:val="00513185"/>
    <w:rsid w:val="00514CCC"/>
    <w:rsid w:val="005176DD"/>
    <w:rsid w:val="0052389B"/>
    <w:rsid w:val="00531596"/>
    <w:rsid w:val="005565F6"/>
    <w:rsid w:val="00567893"/>
    <w:rsid w:val="005A1E34"/>
    <w:rsid w:val="005A26D0"/>
    <w:rsid w:val="005E67BD"/>
    <w:rsid w:val="005F6DEE"/>
    <w:rsid w:val="00606BD6"/>
    <w:rsid w:val="0062566F"/>
    <w:rsid w:val="00625B34"/>
    <w:rsid w:val="00654FDA"/>
    <w:rsid w:val="0067354A"/>
    <w:rsid w:val="006802B6"/>
    <w:rsid w:val="0069719F"/>
    <w:rsid w:val="006F1ECC"/>
    <w:rsid w:val="006F2EE2"/>
    <w:rsid w:val="006F6778"/>
    <w:rsid w:val="006F724C"/>
    <w:rsid w:val="00712C50"/>
    <w:rsid w:val="00755036"/>
    <w:rsid w:val="00775776"/>
    <w:rsid w:val="007B27A0"/>
    <w:rsid w:val="007B6069"/>
    <w:rsid w:val="007B7321"/>
    <w:rsid w:val="007D684C"/>
    <w:rsid w:val="00804FE9"/>
    <w:rsid w:val="00810DD1"/>
    <w:rsid w:val="00814836"/>
    <w:rsid w:val="00817D9A"/>
    <w:rsid w:val="0084266B"/>
    <w:rsid w:val="00843937"/>
    <w:rsid w:val="00854D67"/>
    <w:rsid w:val="00864CDE"/>
    <w:rsid w:val="00876189"/>
    <w:rsid w:val="0088197F"/>
    <w:rsid w:val="008A14E9"/>
    <w:rsid w:val="008A72AC"/>
    <w:rsid w:val="008A7871"/>
    <w:rsid w:val="008B3B57"/>
    <w:rsid w:val="008E1992"/>
    <w:rsid w:val="008E4DC5"/>
    <w:rsid w:val="00925652"/>
    <w:rsid w:val="0093406D"/>
    <w:rsid w:val="00960B06"/>
    <w:rsid w:val="00977E24"/>
    <w:rsid w:val="0098538F"/>
    <w:rsid w:val="009A42B0"/>
    <w:rsid w:val="009A658D"/>
    <w:rsid w:val="009C2896"/>
    <w:rsid w:val="009E47CD"/>
    <w:rsid w:val="009F3B9B"/>
    <w:rsid w:val="00A2152D"/>
    <w:rsid w:val="00A37476"/>
    <w:rsid w:val="00A37789"/>
    <w:rsid w:val="00A6076D"/>
    <w:rsid w:val="00A6308E"/>
    <w:rsid w:val="00A64F8F"/>
    <w:rsid w:val="00A70D5B"/>
    <w:rsid w:val="00A7341D"/>
    <w:rsid w:val="00AC0F7C"/>
    <w:rsid w:val="00B2111F"/>
    <w:rsid w:val="00B26BB5"/>
    <w:rsid w:val="00B273D8"/>
    <w:rsid w:val="00B453B1"/>
    <w:rsid w:val="00BA5CB2"/>
    <w:rsid w:val="00BA7A72"/>
    <w:rsid w:val="00BB284B"/>
    <w:rsid w:val="00BE75F4"/>
    <w:rsid w:val="00BF0622"/>
    <w:rsid w:val="00C05107"/>
    <w:rsid w:val="00C25599"/>
    <w:rsid w:val="00C6052E"/>
    <w:rsid w:val="00C9141C"/>
    <w:rsid w:val="00CA328D"/>
    <w:rsid w:val="00CA3439"/>
    <w:rsid w:val="00CB3AFC"/>
    <w:rsid w:val="00D13E95"/>
    <w:rsid w:val="00D4206B"/>
    <w:rsid w:val="00D513AC"/>
    <w:rsid w:val="00D60B5C"/>
    <w:rsid w:val="00D94B1B"/>
    <w:rsid w:val="00DA3006"/>
    <w:rsid w:val="00DC6677"/>
    <w:rsid w:val="00E1028E"/>
    <w:rsid w:val="00E16A00"/>
    <w:rsid w:val="00E500C9"/>
    <w:rsid w:val="00E554D8"/>
    <w:rsid w:val="00E574DB"/>
    <w:rsid w:val="00EA503F"/>
    <w:rsid w:val="00EB47BF"/>
    <w:rsid w:val="00EC243A"/>
    <w:rsid w:val="00F0104D"/>
    <w:rsid w:val="00F10166"/>
    <w:rsid w:val="00F14E53"/>
    <w:rsid w:val="00F8485E"/>
    <w:rsid w:val="00F9060C"/>
    <w:rsid w:val="00FE5B6A"/>
    <w:rsid w:val="00FF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CF0B80"/>
  <w15:docId w15:val="{099CB56D-064F-4D61-9024-B4078931E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4E5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467886"/>
      <w:u w:val="single" w:color="467886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000000"/>
      <w:sz w:val="15"/>
      <w:szCs w:val="15"/>
      <w:u w:val="none" w:color="000000"/>
    </w:rPr>
  </w:style>
  <w:style w:type="paragraph" w:styleId="Footer">
    <w:name w:val="foot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9A42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12F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NormalWeb">
    <w:name w:val="Normal (Web)"/>
    <w:basedOn w:val="Normal"/>
    <w:uiPriority w:val="99"/>
    <w:semiHidden/>
    <w:unhideWhenUsed/>
    <w:rsid w:val="000D195A"/>
    <w:rPr>
      <w:rFonts w:ascii="Times New Roman" w:hAnsi="Times New Roman" w:cs="Times New Roma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4E53"/>
    <w:rPr>
      <w:rFonts w:asciiTheme="majorHAnsi" w:eastAsiaTheme="majorEastAsia" w:hAnsiTheme="majorHAnsi" w:cstheme="majorBidi"/>
      <w:i/>
      <w:iCs/>
      <w:color w:val="0F4761" w:themeColor="accent1" w:themeShade="BF"/>
      <w:kern w:val="2"/>
      <w:sz w:val="24"/>
      <w:szCs w:val="24"/>
      <w:u w:color="000000"/>
    </w:rPr>
  </w:style>
  <w:style w:type="table" w:customStyle="1" w:styleId="TableNormal1">
    <w:name w:val="Table Normal1"/>
    <w:rsid w:val="008761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2A5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6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in-br@cultura.gov.or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pin-br@cultura.gov.org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cf0d43500f1d0fb02322f7b7759bc64e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10423bb3dd38f3a73ee39d22e201532c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557C21-95E5-40F4-88C7-221B5A7CC0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6EABC4-9339-41FE-A25D-EA29C2618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77C4F6-46E8-4930-96D0-CAFBD018A8A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663</Words>
  <Characters>3781</Characters>
  <Application>Microsoft Office Word</Application>
  <DocSecurity>4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cp:lastModifiedBy>Carlo Ghielmetti</cp:lastModifiedBy>
  <cp:revision>4</cp:revision>
  <cp:lastPrinted>2025-10-17T18:13:00Z</cp:lastPrinted>
  <dcterms:created xsi:type="dcterms:W3CDTF">2025-10-27T21:46:00Z</dcterms:created>
  <dcterms:modified xsi:type="dcterms:W3CDTF">2025-10-28T13:08:00Z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  <property fmtid="{D5CDD505-2E9C-101B-9397-08002B2CF9AE}" pid="4" name="MSIP_Label_5f5fe31f-9de1-4167-a753-111c0df8115f_Enabled">
    <vt:lpwstr>true</vt:lpwstr>
  </property>
  <property fmtid="{D5CDD505-2E9C-101B-9397-08002B2CF9AE}" pid="5" name="MSIP_Label_5f5fe31f-9de1-4167-a753-111c0df8115f_SetDate">
    <vt:lpwstr>2025-04-29T08:43:09Z</vt:lpwstr>
  </property>
  <property fmtid="{D5CDD505-2E9C-101B-9397-08002B2CF9AE}" pid="6" name="MSIP_Label_5f5fe31f-9de1-4167-a753-111c0df8115f_Method">
    <vt:lpwstr>Standard</vt:lpwstr>
  </property>
  <property fmtid="{D5CDD505-2E9C-101B-9397-08002B2CF9AE}" pid="7" name="MSIP_Label_5f5fe31f-9de1-4167-a753-111c0df8115f_Name">
    <vt:lpwstr>5f5fe31f-9de1-4167-a753-111c0df8115f</vt:lpwstr>
  </property>
  <property fmtid="{D5CDD505-2E9C-101B-9397-08002B2CF9AE}" pid="8" name="MSIP_Label_5f5fe31f-9de1-4167-a753-111c0df8115f_SiteId">
    <vt:lpwstr>cc4baf00-15c9-48dd-9f59-88c98bde2be7</vt:lpwstr>
  </property>
  <property fmtid="{D5CDD505-2E9C-101B-9397-08002B2CF9AE}" pid="9" name="MSIP_Label_5f5fe31f-9de1-4167-a753-111c0df8115f_ActionId">
    <vt:lpwstr>9e5d4bd7-262d-49c7-a1db-1ff4f6176fff</vt:lpwstr>
  </property>
  <property fmtid="{D5CDD505-2E9C-101B-9397-08002B2CF9AE}" pid="10" name="MSIP_Label_5f5fe31f-9de1-4167-a753-111c0df8115f_ContentBits">
    <vt:lpwstr>0</vt:lpwstr>
  </property>
</Properties>
</file>